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AAF4" w14:textId="79D5188F" w:rsidR="005D7EF7" w:rsidRPr="00DA1812" w:rsidRDefault="005D7EF7" w:rsidP="005D7EF7">
      <w:pPr>
        <w:keepNext/>
        <w:keepLines/>
        <w:spacing w:after="24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val="fr-CH" w:eastAsia="de-CH"/>
        </w:rPr>
      </w:pPr>
      <w:r w:rsidRPr="00DA1812">
        <w:rPr>
          <w:rFonts w:eastAsia="Times New Roman" w:cs="Arial"/>
          <w:b/>
          <w:color w:val="000000"/>
          <w:sz w:val="36"/>
          <w:szCs w:val="36"/>
          <w:lang w:val="fr-CH" w:eastAsia="de-CH"/>
        </w:rPr>
        <w:t xml:space="preserve">Programme Redevabilité phase 2 </w:t>
      </w:r>
    </w:p>
    <w:p w14:paraId="6EACF4B5" w14:textId="77777777" w:rsidR="00DA1812" w:rsidRDefault="00DA1812" w:rsidP="004D4F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7030A0"/>
          <w:sz w:val="28"/>
          <w:szCs w:val="28"/>
        </w:rPr>
      </w:pPr>
    </w:p>
    <w:p w14:paraId="747C0D70" w14:textId="32ACD831" w:rsidR="00005F5A" w:rsidRPr="00DA1812" w:rsidRDefault="009E15F3" w:rsidP="004D4F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7030A0"/>
          <w:sz w:val="28"/>
          <w:szCs w:val="28"/>
        </w:rPr>
      </w:pPr>
      <w:r>
        <w:rPr>
          <w:rFonts w:cs="Arial"/>
          <w:b/>
          <w:color w:val="7030A0"/>
          <w:sz w:val="28"/>
          <w:szCs w:val="28"/>
        </w:rPr>
        <w:t xml:space="preserve">COMMUNIQUE </w:t>
      </w:r>
    </w:p>
    <w:p w14:paraId="561C74C7" w14:textId="77777777" w:rsidR="004D4F26" w:rsidRDefault="004D4F26" w:rsidP="004D4F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14:paraId="47F71192" w14:textId="77777777" w:rsidR="004D4F26" w:rsidRPr="003B1A1C" w:rsidRDefault="004D4F26" w:rsidP="004D4F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</w:p>
    <w:p w14:paraId="77383CB7" w14:textId="77777777" w:rsidR="00B81D3E" w:rsidRDefault="00B81D3E" w:rsidP="00DA1812">
      <w:pPr>
        <w:pStyle w:val="Sansinterligne"/>
      </w:pPr>
      <w:r>
        <w:t>Dans le cadre de la mise en œuvre d</w:t>
      </w:r>
      <w:r w:rsidR="00DE055B" w:rsidRPr="00DA1812">
        <w:t xml:space="preserve">e la phase 2 </w:t>
      </w:r>
      <w:r w:rsidR="004D4F26" w:rsidRPr="00DA1812">
        <w:t xml:space="preserve">du Programme </w:t>
      </w:r>
      <w:r>
        <w:t>R</w:t>
      </w:r>
      <w:r w:rsidR="004D4F26" w:rsidRPr="00DA1812">
        <w:t xml:space="preserve">edevabilité </w:t>
      </w:r>
      <w:r>
        <w:t xml:space="preserve">sur financement de la Coopération suisse, un </w:t>
      </w:r>
      <w:r w:rsidR="009C6222" w:rsidRPr="00DA1812">
        <w:t xml:space="preserve">appel à propositions </w:t>
      </w:r>
      <w:r w:rsidR="00FD029B">
        <w:t>(</w:t>
      </w:r>
      <w:proofErr w:type="spellStart"/>
      <w:r w:rsidR="00845E78" w:rsidRPr="00DA1812">
        <w:t>AàP</w:t>
      </w:r>
      <w:proofErr w:type="spellEnd"/>
      <w:r w:rsidR="00FD029B">
        <w:t>)</w:t>
      </w:r>
      <w:r w:rsidR="00845E78" w:rsidRPr="00DA1812">
        <w:t xml:space="preserve"> </w:t>
      </w:r>
      <w:r>
        <w:t>a été</w:t>
      </w:r>
      <w:r w:rsidRPr="00DA1812">
        <w:t xml:space="preserve"> lanc</w:t>
      </w:r>
      <w:r>
        <w:t>é</w:t>
      </w:r>
      <w:r w:rsidRPr="00DA1812">
        <w:t xml:space="preserve"> </w:t>
      </w:r>
      <w:r>
        <w:t xml:space="preserve">en vue de l’octroi de subventions aux Organisations de la Société Civile (OSC) et aux intercommunalités sur le </w:t>
      </w:r>
      <w:r w:rsidR="009E15F3">
        <w:t>Fonds de Soutien aux Initiatives de Redevabilité (</w:t>
      </w:r>
      <w:proofErr w:type="spellStart"/>
      <w:r w:rsidR="00845E78" w:rsidRPr="00DA1812">
        <w:t>FoSIR</w:t>
      </w:r>
      <w:proofErr w:type="spellEnd"/>
      <w:r w:rsidR="009E15F3">
        <w:t>) au titre de l’année 2021.</w:t>
      </w:r>
      <w:r>
        <w:t xml:space="preserve"> </w:t>
      </w:r>
    </w:p>
    <w:p w14:paraId="04AEB31F" w14:textId="49D2F14F" w:rsidR="00B81D3E" w:rsidRPr="00B81D3E" w:rsidRDefault="00B81D3E" w:rsidP="00B81D3E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fr-FR"/>
        </w:rPr>
      </w:pPr>
      <w:r w:rsidRPr="00B81D3E">
        <w:rPr>
          <w:rFonts w:eastAsia="Times New Roman" w:cs="Arial"/>
          <w:szCs w:val="20"/>
          <w:lang w:eastAsia="fr-FR"/>
        </w:rPr>
        <w:t xml:space="preserve">Le </w:t>
      </w:r>
      <w:r>
        <w:rPr>
          <w:rFonts w:eastAsia="Times New Roman" w:cs="Arial"/>
          <w:szCs w:val="20"/>
          <w:lang w:eastAsia="fr-FR"/>
        </w:rPr>
        <w:t>c</w:t>
      </w:r>
      <w:r w:rsidRPr="00B81D3E">
        <w:rPr>
          <w:rFonts w:eastAsia="Times New Roman" w:cs="Arial"/>
          <w:szCs w:val="20"/>
          <w:lang w:eastAsia="fr-FR"/>
        </w:rPr>
        <w:t xml:space="preserve">omité </w:t>
      </w:r>
      <w:r>
        <w:rPr>
          <w:rFonts w:eastAsia="Times New Roman" w:cs="Arial"/>
          <w:szCs w:val="20"/>
          <w:lang w:eastAsia="fr-FR"/>
        </w:rPr>
        <w:t>d’évaluation mis en place par GFA Consulting Group, opérateur de mise en œuvre dudit programme</w:t>
      </w:r>
      <w:r w:rsidRPr="00B81D3E">
        <w:rPr>
          <w:rFonts w:eastAsia="Times New Roman" w:cs="Arial"/>
          <w:szCs w:val="20"/>
          <w:lang w:eastAsia="fr-FR"/>
        </w:rPr>
        <w:t xml:space="preserve"> a </w:t>
      </w:r>
      <w:r>
        <w:rPr>
          <w:rFonts w:eastAsia="Times New Roman" w:cs="Arial"/>
          <w:szCs w:val="20"/>
          <w:lang w:eastAsia="fr-FR"/>
        </w:rPr>
        <w:t>examiné</w:t>
      </w:r>
      <w:r w:rsidRPr="00B81D3E">
        <w:rPr>
          <w:rFonts w:eastAsia="Times New Roman" w:cs="Arial"/>
          <w:szCs w:val="20"/>
          <w:lang w:eastAsia="fr-FR"/>
        </w:rPr>
        <w:t xml:space="preserve"> les </w:t>
      </w:r>
      <w:r>
        <w:rPr>
          <w:rFonts w:eastAsia="Times New Roman" w:cs="Arial"/>
          <w:szCs w:val="20"/>
          <w:lang w:eastAsia="fr-FR"/>
        </w:rPr>
        <w:t>164</w:t>
      </w:r>
      <w:r w:rsidRPr="00B81D3E">
        <w:rPr>
          <w:rFonts w:eastAsia="Times New Roman" w:cs="Arial"/>
          <w:szCs w:val="20"/>
          <w:lang w:eastAsia="fr-FR"/>
        </w:rPr>
        <w:t xml:space="preserve"> propositions reçues dans le cadre d</w:t>
      </w:r>
      <w:r>
        <w:rPr>
          <w:rFonts w:eastAsia="Times New Roman" w:cs="Arial"/>
          <w:szCs w:val="20"/>
          <w:lang w:eastAsia="fr-FR"/>
        </w:rPr>
        <w:t xml:space="preserve">e ce premier appel </w:t>
      </w:r>
      <w:r w:rsidRPr="00B81D3E">
        <w:rPr>
          <w:rFonts w:eastAsia="Times New Roman" w:cs="Arial"/>
          <w:szCs w:val="20"/>
          <w:lang w:eastAsia="fr-FR"/>
        </w:rPr>
        <w:t xml:space="preserve">à propositions. Les propositions sont </w:t>
      </w:r>
      <w:r>
        <w:rPr>
          <w:rFonts w:eastAsia="Times New Roman" w:cs="Arial"/>
          <w:szCs w:val="20"/>
          <w:lang w:eastAsia="fr-FR"/>
        </w:rPr>
        <w:t xml:space="preserve">reçues des demandeurs provenant </w:t>
      </w:r>
      <w:r w:rsidRPr="00B81D3E">
        <w:rPr>
          <w:rFonts w:eastAsia="Times New Roman" w:cs="Arial"/>
          <w:szCs w:val="20"/>
          <w:lang w:eastAsia="fr-FR"/>
        </w:rPr>
        <w:t xml:space="preserve">des </w:t>
      </w:r>
      <w:r>
        <w:rPr>
          <w:rFonts w:eastAsia="Times New Roman" w:cs="Arial"/>
          <w:szCs w:val="20"/>
          <w:lang w:eastAsia="fr-FR"/>
        </w:rPr>
        <w:t xml:space="preserve">12 départements du Bénin.  </w:t>
      </w:r>
    </w:p>
    <w:p w14:paraId="37AF6925" w14:textId="77777777" w:rsidR="00B81D3E" w:rsidRPr="00B81D3E" w:rsidRDefault="00B81D3E" w:rsidP="00B81D3E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fr-FR"/>
        </w:rPr>
      </w:pPr>
      <w:r w:rsidRPr="00B81D3E">
        <w:rPr>
          <w:rFonts w:eastAsia="Times New Roman" w:cs="Arial"/>
          <w:szCs w:val="20"/>
          <w:lang w:eastAsia="fr-FR"/>
        </w:rPr>
        <w:t>Les résultats d’évaluation sont publiés ci-dessous :</w:t>
      </w:r>
    </w:p>
    <w:p w14:paraId="27D407D7" w14:textId="77777777" w:rsidR="00D21A78" w:rsidRDefault="00B81D3E" w:rsidP="00CA0F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fr-FR"/>
        </w:rPr>
      </w:pPr>
      <w:r w:rsidRPr="00B81D3E">
        <w:rPr>
          <w:rFonts w:eastAsia="Times New Roman" w:cs="Arial"/>
          <w:szCs w:val="20"/>
          <w:lang w:eastAsia="fr-FR"/>
        </w:rPr>
        <w:t>De</w:t>
      </w:r>
      <w:r>
        <w:rPr>
          <w:rFonts w:eastAsia="Times New Roman" w:cs="Arial"/>
          <w:szCs w:val="20"/>
          <w:lang w:eastAsia="fr-FR"/>
        </w:rPr>
        <w:t>s</w:t>
      </w:r>
      <w:r w:rsidRPr="00B81D3E">
        <w:rPr>
          <w:rFonts w:eastAsia="Times New Roman" w:cs="Arial"/>
          <w:szCs w:val="20"/>
          <w:lang w:eastAsia="fr-FR"/>
        </w:rPr>
        <w:t xml:space="preserve"> </w:t>
      </w:r>
      <w:r w:rsidRPr="00D21A78">
        <w:rPr>
          <w:rFonts w:eastAsia="Times New Roman" w:cs="Arial"/>
          <w:b/>
          <w:bCs/>
          <w:szCs w:val="20"/>
          <w:lang w:eastAsia="fr-FR"/>
        </w:rPr>
        <w:t>164 propositions reçues</w:t>
      </w:r>
      <w:r w:rsidRPr="00B81D3E">
        <w:rPr>
          <w:rFonts w:eastAsia="Times New Roman" w:cs="Arial"/>
          <w:szCs w:val="20"/>
          <w:lang w:eastAsia="fr-FR"/>
        </w:rPr>
        <w:t xml:space="preserve">, </w:t>
      </w:r>
      <w:r w:rsidRPr="00D21A78">
        <w:rPr>
          <w:rFonts w:eastAsia="Times New Roman" w:cs="Arial"/>
          <w:b/>
          <w:bCs/>
          <w:szCs w:val="20"/>
          <w:lang w:eastAsia="fr-FR"/>
        </w:rPr>
        <w:t>18 propositions</w:t>
      </w:r>
      <w:r w:rsidRPr="00B81D3E">
        <w:rPr>
          <w:rFonts w:eastAsia="Times New Roman" w:cs="Arial"/>
          <w:szCs w:val="20"/>
          <w:lang w:eastAsia="fr-FR"/>
        </w:rPr>
        <w:t xml:space="preserve"> étaient </w:t>
      </w:r>
      <w:r w:rsidRPr="00B81D3E">
        <w:rPr>
          <w:rFonts w:eastAsia="Times New Roman" w:cs="Arial"/>
          <w:b/>
          <w:bCs/>
          <w:szCs w:val="20"/>
          <w:lang w:eastAsia="fr-FR"/>
        </w:rPr>
        <w:t xml:space="preserve">non </w:t>
      </w:r>
      <w:r>
        <w:rPr>
          <w:rFonts w:eastAsia="Times New Roman" w:cs="Arial"/>
          <w:b/>
          <w:bCs/>
          <w:szCs w:val="20"/>
          <w:lang w:eastAsia="fr-FR"/>
        </w:rPr>
        <w:t>recevables</w:t>
      </w:r>
      <w:r w:rsidRPr="00B81D3E">
        <w:rPr>
          <w:rFonts w:eastAsia="Times New Roman" w:cs="Arial"/>
          <w:szCs w:val="20"/>
          <w:lang w:eastAsia="fr-FR"/>
        </w:rPr>
        <w:t xml:space="preserve"> car elles </w:t>
      </w:r>
      <w:r>
        <w:rPr>
          <w:rFonts w:eastAsia="Times New Roman" w:cs="Arial"/>
          <w:szCs w:val="20"/>
          <w:lang w:eastAsia="fr-FR"/>
        </w:rPr>
        <w:t xml:space="preserve">sont parvenues au-delà de la date et heure limite de transmission des notes </w:t>
      </w:r>
      <w:r w:rsidR="00D21A78">
        <w:rPr>
          <w:rFonts w:eastAsia="Times New Roman" w:cs="Arial"/>
          <w:szCs w:val="20"/>
          <w:lang w:eastAsia="fr-FR"/>
        </w:rPr>
        <w:t>succinctes</w:t>
      </w:r>
      <w:r>
        <w:rPr>
          <w:rFonts w:eastAsia="Times New Roman" w:cs="Arial"/>
          <w:szCs w:val="20"/>
          <w:lang w:eastAsia="fr-FR"/>
        </w:rPr>
        <w:t xml:space="preserve"> fixées dans les lignes directrices </w:t>
      </w:r>
      <w:r w:rsidR="00D21A78">
        <w:rPr>
          <w:rFonts w:eastAsia="Times New Roman" w:cs="Arial"/>
          <w:szCs w:val="20"/>
          <w:lang w:eastAsia="fr-FR"/>
        </w:rPr>
        <w:t>complétées par l’avis de prorogation de délai de remise de propositions (26 mai 2021 à 17 heures, heure locale) ;</w:t>
      </w:r>
    </w:p>
    <w:p w14:paraId="5F6176CC" w14:textId="5D1E36C4" w:rsidR="00B81D3E" w:rsidRPr="00B81D3E" w:rsidRDefault="00D21A78" w:rsidP="00B81D3E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 w:cs="Arial"/>
          <w:szCs w:val="20"/>
          <w:lang w:eastAsia="fr-FR"/>
        </w:rPr>
      </w:pPr>
      <w:r>
        <w:rPr>
          <w:rFonts w:eastAsia="Times New Roman" w:cs="Arial"/>
          <w:szCs w:val="20"/>
          <w:lang w:eastAsia="fr-FR"/>
        </w:rPr>
        <w:t xml:space="preserve">Des </w:t>
      </w:r>
      <w:r w:rsidRPr="00D21A78">
        <w:rPr>
          <w:rFonts w:eastAsia="Times New Roman" w:cs="Arial"/>
          <w:b/>
          <w:bCs/>
          <w:szCs w:val="20"/>
          <w:lang w:eastAsia="fr-FR"/>
        </w:rPr>
        <w:t>146 propositions recevables</w:t>
      </w:r>
      <w:r>
        <w:rPr>
          <w:rFonts w:eastAsia="Times New Roman" w:cs="Arial"/>
          <w:szCs w:val="20"/>
          <w:lang w:eastAsia="fr-FR"/>
        </w:rPr>
        <w:t xml:space="preserve">, </w:t>
      </w:r>
      <w:r w:rsidRPr="00D21A78">
        <w:rPr>
          <w:rFonts w:eastAsia="Times New Roman" w:cs="Arial"/>
          <w:b/>
          <w:bCs/>
          <w:szCs w:val="20"/>
          <w:lang w:eastAsia="fr-FR"/>
        </w:rPr>
        <w:t>19 propositions</w:t>
      </w:r>
      <w:r>
        <w:rPr>
          <w:rFonts w:eastAsia="Times New Roman" w:cs="Arial"/>
          <w:szCs w:val="20"/>
          <w:lang w:eastAsia="fr-FR"/>
        </w:rPr>
        <w:t xml:space="preserve"> étaient </w:t>
      </w:r>
      <w:r w:rsidRPr="00D21A78">
        <w:rPr>
          <w:rFonts w:eastAsia="Times New Roman" w:cs="Arial"/>
          <w:b/>
          <w:bCs/>
          <w:szCs w:val="20"/>
          <w:lang w:eastAsia="fr-FR"/>
        </w:rPr>
        <w:t>inéligibles</w:t>
      </w:r>
      <w:r>
        <w:rPr>
          <w:rFonts w:eastAsia="Times New Roman" w:cs="Arial"/>
          <w:szCs w:val="20"/>
          <w:lang w:eastAsia="fr-FR"/>
        </w:rPr>
        <w:t xml:space="preserve"> car elles </w:t>
      </w:r>
      <w:r w:rsidR="00B81D3E" w:rsidRPr="00B81D3E">
        <w:rPr>
          <w:rFonts w:eastAsia="Times New Roman" w:cs="Arial"/>
          <w:szCs w:val="20"/>
          <w:lang w:eastAsia="fr-FR"/>
        </w:rPr>
        <w:t>ne respectaient pas les</w:t>
      </w:r>
      <w:r>
        <w:rPr>
          <w:rFonts w:eastAsia="Times New Roman" w:cs="Arial"/>
          <w:szCs w:val="20"/>
          <w:lang w:eastAsia="fr-FR"/>
        </w:rPr>
        <w:t xml:space="preserve"> exigences des</w:t>
      </w:r>
      <w:r w:rsidR="00B81D3E" w:rsidRPr="00B81D3E">
        <w:rPr>
          <w:rFonts w:eastAsia="Times New Roman" w:cs="Arial"/>
          <w:szCs w:val="20"/>
          <w:lang w:eastAsia="fr-FR"/>
        </w:rPr>
        <w:t xml:space="preserve"> lignes directrices de l’appel et/ou ses prérequis formels.</w:t>
      </w:r>
    </w:p>
    <w:p w14:paraId="6FBF2132" w14:textId="77777777" w:rsidR="00D21A78" w:rsidRDefault="00D21A78" w:rsidP="00B81D3E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 w:cs="Arial"/>
          <w:szCs w:val="20"/>
          <w:lang w:eastAsia="fr-FR"/>
        </w:rPr>
      </w:pPr>
      <w:r w:rsidRPr="00D21A78">
        <w:rPr>
          <w:rFonts w:eastAsia="Times New Roman" w:cs="Arial"/>
          <w:b/>
          <w:bCs/>
          <w:szCs w:val="20"/>
          <w:lang w:eastAsia="fr-FR"/>
        </w:rPr>
        <w:t>127</w:t>
      </w:r>
      <w:r w:rsidR="00B81D3E" w:rsidRPr="00D21A78">
        <w:rPr>
          <w:rFonts w:eastAsia="Times New Roman" w:cs="Arial"/>
          <w:b/>
          <w:bCs/>
          <w:szCs w:val="20"/>
          <w:lang w:eastAsia="fr-FR"/>
        </w:rPr>
        <w:t xml:space="preserve"> propositions</w:t>
      </w:r>
      <w:r w:rsidR="00B81D3E" w:rsidRPr="00B81D3E">
        <w:rPr>
          <w:rFonts w:eastAsia="Times New Roman" w:cs="Arial"/>
          <w:szCs w:val="20"/>
          <w:lang w:eastAsia="fr-FR"/>
        </w:rPr>
        <w:t xml:space="preserve"> ont été évaluées comme </w:t>
      </w:r>
      <w:r w:rsidR="00B81D3E" w:rsidRPr="00B81D3E">
        <w:rPr>
          <w:rFonts w:eastAsia="Times New Roman" w:cs="Arial"/>
          <w:b/>
          <w:bCs/>
          <w:szCs w:val="20"/>
          <w:lang w:eastAsia="fr-FR"/>
        </w:rPr>
        <w:t>éligibles</w:t>
      </w:r>
      <w:r w:rsidR="00B81D3E" w:rsidRPr="00B81D3E">
        <w:rPr>
          <w:rFonts w:eastAsia="Times New Roman" w:cs="Arial"/>
          <w:szCs w:val="20"/>
          <w:lang w:eastAsia="fr-FR"/>
        </w:rPr>
        <w:t xml:space="preserve"> et ont été classées selon les critères d’évaluation</w:t>
      </w:r>
      <w:r>
        <w:rPr>
          <w:rFonts w:eastAsia="Times New Roman" w:cs="Arial"/>
          <w:szCs w:val="20"/>
          <w:lang w:eastAsia="fr-FR"/>
        </w:rPr>
        <w:t xml:space="preserve"> </w:t>
      </w:r>
      <w:r w:rsidR="00B81D3E" w:rsidRPr="00B81D3E">
        <w:rPr>
          <w:rFonts w:eastAsia="Times New Roman" w:cs="Arial"/>
          <w:szCs w:val="20"/>
          <w:lang w:eastAsia="fr-FR"/>
        </w:rPr>
        <w:t xml:space="preserve">: </w:t>
      </w:r>
      <w:r w:rsidRPr="00D21A78">
        <w:rPr>
          <w:rFonts w:eastAsia="Times New Roman" w:cs="Arial"/>
          <w:b/>
          <w:bCs/>
          <w:szCs w:val="20"/>
          <w:lang w:eastAsia="fr-FR"/>
        </w:rPr>
        <w:t>53 propositions</w:t>
      </w:r>
      <w:r w:rsidR="00B81D3E" w:rsidRPr="00B81D3E">
        <w:rPr>
          <w:rFonts w:eastAsia="Times New Roman" w:cs="Arial"/>
          <w:szCs w:val="20"/>
          <w:lang w:eastAsia="fr-FR"/>
        </w:rPr>
        <w:t xml:space="preserve"> ont reçu </w:t>
      </w:r>
      <w:r w:rsidR="00B81D3E" w:rsidRPr="00D21A78">
        <w:rPr>
          <w:rFonts w:eastAsia="Times New Roman" w:cs="Arial"/>
          <w:b/>
          <w:bCs/>
          <w:szCs w:val="20"/>
          <w:lang w:eastAsia="fr-FR"/>
        </w:rPr>
        <w:t xml:space="preserve">une note </w:t>
      </w:r>
      <w:r w:rsidRPr="00D21A78">
        <w:rPr>
          <w:rFonts w:eastAsia="Times New Roman" w:cs="Arial"/>
          <w:b/>
          <w:bCs/>
          <w:szCs w:val="20"/>
          <w:lang w:eastAsia="fr-FR"/>
        </w:rPr>
        <w:t>sup</w:t>
      </w:r>
      <w:r w:rsidR="00B81D3E" w:rsidRPr="00D21A78">
        <w:rPr>
          <w:rFonts w:eastAsia="Times New Roman" w:cs="Arial"/>
          <w:b/>
          <w:bCs/>
          <w:szCs w:val="20"/>
          <w:lang w:eastAsia="fr-FR"/>
        </w:rPr>
        <w:t xml:space="preserve">érieure au seuil de </w:t>
      </w:r>
      <w:r w:rsidRPr="00D21A78">
        <w:rPr>
          <w:rFonts w:eastAsia="Times New Roman" w:cs="Arial"/>
          <w:b/>
          <w:bCs/>
          <w:szCs w:val="20"/>
          <w:lang w:eastAsia="fr-FR"/>
        </w:rPr>
        <w:t>50</w:t>
      </w:r>
      <w:r w:rsidR="00B81D3E" w:rsidRPr="00D21A78">
        <w:rPr>
          <w:rFonts w:eastAsia="Times New Roman" w:cs="Arial"/>
          <w:b/>
          <w:bCs/>
          <w:szCs w:val="20"/>
          <w:lang w:eastAsia="fr-FR"/>
        </w:rPr>
        <w:t>/</w:t>
      </w:r>
      <w:r w:rsidRPr="00D21A78">
        <w:rPr>
          <w:rFonts w:eastAsia="Times New Roman" w:cs="Arial"/>
          <w:b/>
          <w:bCs/>
          <w:szCs w:val="20"/>
          <w:lang w:eastAsia="fr-FR"/>
        </w:rPr>
        <w:t>75 points</w:t>
      </w:r>
      <w:r>
        <w:rPr>
          <w:rFonts w:eastAsia="Times New Roman" w:cs="Arial"/>
          <w:b/>
          <w:bCs/>
          <w:szCs w:val="20"/>
          <w:lang w:eastAsia="fr-FR"/>
        </w:rPr>
        <w:t> </w:t>
      </w:r>
      <w:r>
        <w:rPr>
          <w:rFonts w:eastAsia="Times New Roman" w:cs="Arial"/>
          <w:szCs w:val="20"/>
          <w:lang w:eastAsia="fr-FR"/>
        </w:rPr>
        <w:t>;</w:t>
      </w:r>
    </w:p>
    <w:p w14:paraId="444310D0" w14:textId="77777777" w:rsidR="00DA7560" w:rsidRDefault="00D21A78" w:rsidP="00B81D3E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 w:cs="Arial"/>
          <w:szCs w:val="20"/>
          <w:lang w:eastAsia="fr-FR"/>
        </w:rPr>
      </w:pPr>
      <w:r>
        <w:rPr>
          <w:rFonts w:eastAsia="Times New Roman" w:cs="Arial"/>
          <w:b/>
          <w:bCs/>
          <w:szCs w:val="20"/>
          <w:lang w:eastAsia="fr-FR"/>
        </w:rPr>
        <w:t>Des 53 propositions</w:t>
      </w:r>
      <w:r w:rsidR="00DA7560">
        <w:rPr>
          <w:rFonts w:eastAsia="Times New Roman" w:cs="Arial"/>
          <w:b/>
          <w:bCs/>
          <w:szCs w:val="20"/>
          <w:lang w:eastAsia="fr-FR"/>
        </w:rPr>
        <w:t xml:space="preserve"> </w:t>
      </w:r>
      <w:r w:rsidR="00DA7560" w:rsidRPr="00DA7560">
        <w:rPr>
          <w:rFonts w:eastAsia="Times New Roman" w:cs="Arial"/>
          <w:szCs w:val="20"/>
          <w:lang w:eastAsia="fr-FR"/>
        </w:rPr>
        <w:t xml:space="preserve">ayant eu franchi </w:t>
      </w:r>
      <w:r w:rsidR="00DA7560">
        <w:rPr>
          <w:rFonts w:eastAsia="Times New Roman" w:cs="Arial"/>
          <w:b/>
          <w:bCs/>
          <w:szCs w:val="20"/>
          <w:lang w:eastAsia="fr-FR"/>
        </w:rPr>
        <w:t xml:space="preserve">le seuil minimal de notes requis, 02 propositions </w:t>
      </w:r>
      <w:r w:rsidR="00DA7560" w:rsidRPr="00DA7560">
        <w:rPr>
          <w:rFonts w:eastAsia="Times New Roman" w:cs="Arial"/>
          <w:szCs w:val="20"/>
          <w:lang w:eastAsia="fr-FR"/>
        </w:rPr>
        <w:t xml:space="preserve">ont été </w:t>
      </w:r>
      <w:r w:rsidR="00DA7560" w:rsidRPr="00CA0FCA">
        <w:rPr>
          <w:rFonts w:eastAsia="Times New Roman" w:cs="Arial"/>
          <w:b/>
          <w:bCs/>
          <w:szCs w:val="20"/>
          <w:lang w:eastAsia="fr-FR"/>
        </w:rPr>
        <w:t>éliminées</w:t>
      </w:r>
      <w:r w:rsidR="00DA7560" w:rsidRPr="00DA7560">
        <w:rPr>
          <w:rFonts w:eastAsia="Times New Roman" w:cs="Arial"/>
          <w:szCs w:val="20"/>
          <w:lang w:eastAsia="fr-FR"/>
        </w:rPr>
        <w:t xml:space="preserve"> pour</w:t>
      </w:r>
      <w:r w:rsidR="00DA7560">
        <w:rPr>
          <w:rFonts w:eastAsia="Times New Roman" w:cs="Arial"/>
          <w:b/>
          <w:bCs/>
          <w:szCs w:val="20"/>
          <w:lang w:eastAsia="fr-FR"/>
        </w:rPr>
        <w:t xml:space="preserve"> manœuvres collusoires, 08 propositions </w:t>
      </w:r>
      <w:r w:rsidR="00B81D3E" w:rsidRPr="00CA0FCA">
        <w:rPr>
          <w:rFonts w:eastAsia="Times New Roman" w:cs="Arial"/>
          <w:b/>
          <w:bCs/>
          <w:szCs w:val="20"/>
          <w:lang w:eastAsia="fr-FR"/>
        </w:rPr>
        <w:t>n’ont pas été sélectionnées</w:t>
      </w:r>
      <w:r>
        <w:rPr>
          <w:rFonts w:eastAsia="Times New Roman" w:cs="Arial"/>
          <w:szCs w:val="20"/>
          <w:lang w:eastAsia="fr-FR"/>
        </w:rPr>
        <w:t xml:space="preserve"> </w:t>
      </w:r>
      <w:r w:rsidR="00DA7560">
        <w:rPr>
          <w:rFonts w:eastAsia="Times New Roman" w:cs="Arial"/>
          <w:szCs w:val="20"/>
          <w:lang w:eastAsia="fr-FR"/>
        </w:rPr>
        <w:t xml:space="preserve">car hors limite du triple de l’enveloppe disponible sur chacun des deux guichets ouverts dans le cadre de l’appel à propositions </w:t>
      </w:r>
      <w:r w:rsidR="00B81D3E" w:rsidRPr="00B81D3E">
        <w:rPr>
          <w:rFonts w:eastAsia="Times New Roman" w:cs="Arial"/>
          <w:szCs w:val="20"/>
          <w:lang w:eastAsia="fr-FR"/>
        </w:rPr>
        <w:t xml:space="preserve">; </w:t>
      </w:r>
    </w:p>
    <w:p w14:paraId="39175F74" w14:textId="025B8521" w:rsidR="00B81D3E" w:rsidRPr="00B81D3E" w:rsidRDefault="00DA7560" w:rsidP="00DA7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fr-FR"/>
        </w:rPr>
      </w:pPr>
      <w:r w:rsidRPr="00B81D3E">
        <w:rPr>
          <w:rFonts w:eastAsia="Times New Roman" w:cs="Arial"/>
          <w:szCs w:val="20"/>
          <w:lang w:eastAsia="fr-FR"/>
        </w:rPr>
        <w:t>Conformément aux critères d’évaluation et au financement disponible</w:t>
      </w:r>
      <w:r>
        <w:rPr>
          <w:rFonts w:eastAsia="Times New Roman" w:cs="Arial"/>
          <w:szCs w:val="20"/>
          <w:lang w:eastAsia="fr-FR"/>
        </w:rPr>
        <w:t>,</w:t>
      </w:r>
      <w:r w:rsidRPr="00DA7560">
        <w:rPr>
          <w:rFonts w:eastAsia="Times New Roman" w:cs="Arial"/>
          <w:b/>
          <w:bCs/>
          <w:szCs w:val="20"/>
          <w:lang w:eastAsia="fr-FR"/>
        </w:rPr>
        <w:t xml:space="preserve"> 43 propositions</w:t>
      </w:r>
      <w:r w:rsidR="00B81D3E" w:rsidRPr="00B81D3E">
        <w:rPr>
          <w:rFonts w:eastAsia="Times New Roman" w:cs="Arial"/>
          <w:szCs w:val="20"/>
          <w:lang w:eastAsia="fr-FR"/>
        </w:rPr>
        <w:t xml:space="preserve"> </w:t>
      </w:r>
      <w:r>
        <w:rPr>
          <w:rFonts w:eastAsia="Times New Roman" w:cs="Arial"/>
          <w:szCs w:val="20"/>
          <w:lang w:eastAsia="fr-FR"/>
        </w:rPr>
        <w:t xml:space="preserve">dont la </w:t>
      </w:r>
      <w:r w:rsidR="00B81D3E" w:rsidRPr="00B81D3E">
        <w:rPr>
          <w:rFonts w:eastAsia="Times New Roman" w:cs="Arial"/>
          <w:szCs w:val="20"/>
          <w:lang w:eastAsia="fr-FR"/>
        </w:rPr>
        <w:t xml:space="preserve">note </w:t>
      </w:r>
      <w:r>
        <w:rPr>
          <w:rFonts w:eastAsia="Times New Roman" w:cs="Arial"/>
          <w:szCs w:val="20"/>
          <w:lang w:eastAsia="fr-FR"/>
        </w:rPr>
        <w:t xml:space="preserve">est </w:t>
      </w:r>
      <w:r w:rsidR="00B81D3E" w:rsidRPr="00DA7560">
        <w:rPr>
          <w:rFonts w:eastAsia="Times New Roman" w:cs="Arial"/>
          <w:b/>
          <w:bCs/>
          <w:szCs w:val="20"/>
          <w:lang w:eastAsia="fr-FR"/>
        </w:rPr>
        <w:t xml:space="preserve">égale ou supérieure à </w:t>
      </w:r>
      <w:r w:rsidRPr="00DA7560">
        <w:rPr>
          <w:rFonts w:eastAsia="Times New Roman" w:cs="Arial"/>
          <w:b/>
          <w:bCs/>
          <w:szCs w:val="20"/>
          <w:lang w:eastAsia="fr-FR"/>
        </w:rPr>
        <w:t>50</w:t>
      </w:r>
      <w:r w:rsidR="00B81D3E" w:rsidRPr="00DA7560">
        <w:rPr>
          <w:rFonts w:eastAsia="Times New Roman" w:cs="Arial"/>
          <w:b/>
          <w:bCs/>
          <w:szCs w:val="20"/>
          <w:lang w:eastAsia="fr-FR"/>
        </w:rPr>
        <w:t>/</w:t>
      </w:r>
      <w:r w:rsidRPr="00DA7560">
        <w:rPr>
          <w:rFonts w:eastAsia="Times New Roman" w:cs="Arial"/>
          <w:b/>
          <w:bCs/>
          <w:szCs w:val="20"/>
          <w:lang w:eastAsia="fr-FR"/>
        </w:rPr>
        <w:t>75</w:t>
      </w:r>
      <w:r w:rsidR="00B81D3E" w:rsidRPr="00B81D3E">
        <w:rPr>
          <w:rFonts w:eastAsia="Times New Roman" w:cs="Arial"/>
          <w:szCs w:val="20"/>
          <w:lang w:eastAsia="fr-FR"/>
        </w:rPr>
        <w:t xml:space="preserve"> et </w:t>
      </w:r>
      <w:r>
        <w:rPr>
          <w:rFonts w:eastAsia="Times New Roman" w:cs="Arial"/>
          <w:szCs w:val="20"/>
          <w:lang w:eastAsia="fr-FR"/>
        </w:rPr>
        <w:t xml:space="preserve">la </w:t>
      </w:r>
      <w:r w:rsidRPr="00DA7560">
        <w:rPr>
          <w:rFonts w:eastAsia="Times New Roman" w:cs="Arial"/>
          <w:b/>
          <w:bCs/>
          <w:szCs w:val="20"/>
          <w:lang w:eastAsia="fr-FR"/>
        </w:rPr>
        <w:t>somme des subventions demandées ne dépassant pas le triple de l’enveloppe disponible</w:t>
      </w:r>
      <w:r>
        <w:rPr>
          <w:rFonts w:eastAsia="Times New Roman" w:cs="Arial"/>
          <w:szCs w:val="20"/>
          <w:lang w:eastAsia="fr-FR"/>
        </w:rPr>
        <w:t xml:space="preserve"> par guichet </w:t>
      </w:r>
      <w:r w:rsidR="00B81D3E" w:rsidRPr="00B81D3E">
        <w:rPr>
          <w:rFonts w:eastAsia="Times New Roman" w:cs="Arial"/>
          <w:szCs w:val="20"/>
          <w:lang w:eastAsia="fr-FR"/>
        </w:rPr>
        <w:t xml:space="preserve">ont été admises </w:t>
      </w:r>
      <w:r>
        <w:rPr>
          <w:rFonts w:eastAsia="Times New Roman" w:cs="Arial"/>
          <w:szCs w:val="20"/>
          <w:lang w:eastAsia="fr-FR"/>
        </w:rPr>
        <w:t>à soumettre une demande complète de projets pour la 2</w:t>
      </w:r>
      <w:r w:rsidRPr="00DA7560">
        <w:rPr>
          <w:rFonts w:eastAsia="Times New Roman" w:cs="Arial"/>
          <w:szCs w:val="20"/>
          <w:vertAlign w:val="superscript"/>
          <w:lang w:eastAsia="fr-FR"/>
        </w:rPr>
        <w:t>ème</w:t>
      </w:r>
      <w:r>
        <w:rPr>
          <w:rFonts w:eastAsia="Times New Roman" w:cs="Arial"/>
          <w:szCs w:val="20"/>
          <w:lang w:eastAsia="fr-FR"/>
        </w:rPr>
        <w:t xml:space="preserve"> phase de sélection</w:t>
      </w:r>
      <w:r w:rsidR="00B81D3E" w:rsidRPr="00B81D3E">
        <w:rPr>
          <w:rFonts w:eastAsia="Times New Roman" w:cs="Arial"/>
          <w:szCs w:val="20"/>
          <w:lang w:eastAsia="fr-FR"/>
        </w:rPr>
        <w:t>.</w:t>
      </w:r>
    </w:p>
    <w:p w14:paraId="2F3E6F8B" w14:textId="12B4B7BB" w:rsidR="00B81D3E" w:rsidRDefault="00DA7560" w:rsidP="00B81D3E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fr-FR"/>
        </w:rPr>
      </w:pPr>
      <w:r>
        <w:rPr>
          <w:rFonts w:eastAsia="Times New Roman" w:cs="Arial"/>
          <w:b/>
          <w:bCs/>
          <w:szCs w:val="20"/>
          <w:lang w:eastAsia="fr-FR"/>
        </w:rPr>
        <w:t>GFA Consulting</w:t>
      </w:r>
      <w:r w:rsidR="00CA0FCA">
        <w:rPr>
          <w:rFonts w:eastAsia="Times New Roman" w:cs="Arial"/>
          <w:b/>
          <w:bCs/>
          <w:szCs w:val="20"/>
          <w:lang w:eastAsia="fr-FR"/>
        </w:rPr>
        <w:t xml:space="preserve"> Group </w:t>
      </w:r>
      <w:r w:rsidR="00CA0FCA" w:rsidRPr="00CA0FCA">
        <w:rPr>
          <w:rFonts w:eastAsia="Times New Roman" w:cs="Arial"/>
          <w:szCs w:val="20"/>
          <w:lang w:eastAsia="fr-FR"/>
        </w:rPr>
        <w:t>se réserve</w:t>
      </w:r>
      <w:r w:rsidR="00B81D3E" w:rsidRPr="00B81D3E">
        <w:rPr>
          <w:rFonts w:eastAsia="Times New Roman" w:cs="Arial"/>
          <w:szCs w:val="20"/>
          <w:lang w:eastAsia="fr-FR"/>
        </w:rPr>
        <w:t xml:space="preserve"> le droit de ne pas attribuer la totalité </w:t>
      </w:r>
      <w:r w:rsidR="00CA0FCA">
        <w:rPr>
          <w:rFonts w:eastAsia="Times New Roman" w:cs="Arial"/>
          <w:szCs w:val="20"/>
          <w:lang w:eastAsia="fr-FR"/>
        </w:rPr>
        <w:t>des subventions</w:t>
      </w:r>
      <w:r w:rsidR="00B81D3E" w:rsidRPr="00B81D3E">
        <w:rPr>
          <w:rFonts w:eastAsia="Times New Roman" w:cs="Arial"/>
          <w:szCs w:val="20"/>
          <w:lang w:eastAsia="fr-FR"/>
        </w:rPr>
        <w:t xml:space="preserve"> disponibles si les </w:t>
      </w:r>
      <w:r w:rsidR="00CA0FCA">
        <w:rPr>
          <w:rFonts w:eastAsia="Times New Roman" w:cs="Arial"/>
          <w:szCs w:val="20"/>
          <w:lang w:eastAsia="fr-FR"/>
        </w:rPr>
        <w:t xml:space="preserve">demandeurs </w:t>
      </w:r>
      <w:r w:rsidR="00B81D3E" w:rsidRPr="00B81D3E">
        <w:rPr>
          <w:rFonts w:eastAsia="Times New Roman" w:cs="Arial"/>
          <w:szCs w:val="20"/>
          <w:lang w:eastAsia="fr-FR"/>
        </w:rPr>
        <w:t xml:space="preserve">ne sont pas en mesure de </w:t>
      </w:r>
      <w:r w:rsidR="00CA0FCA">
        <w:rPr>
          <w:rFonts w:eastAsia="Times New Roman" w:cs="Arial"/>
          <w:szCs w:val="20"/>
          <w:lang w:eastAsia="fr-FR"/>
        </w:rPr>
        <w:t>sou</w:t>
      </w:r>
      <w:r w:rsidR="00B81D3E" w:rsidRPr="00B81D3E">
        <w:rPr>
          <w:rFonts w:eastAsia="Times New Roman" w:cs="Arial"/>
          <w:szCs w:val="20"/>
          <w:lang w:eastAsia="fr-FR"/>
        </w:rPr>
        <w:t xml:space="preserve">mettre </w:t>
      </w:r>
      <w:r w:rsidR="00CA0FCA">
        <w:rPr>
          <w:rFonts w:eastAsia="Times New Roman" w:cs="Arial"/>
          <w:szCs w:val="20"/>
          <w:lang w:eastAsia="fr-FR"/>
        </w:rPr>
        <w:t>des</w:t>
      </w:r>
      <w:r w:rsidR="00B81D3E" w:rsidRPr="00B81D3E">
        <w:rPr>
          <w:rFonts w:eastAsia="Times New Roman" w:cs="Arial"/>
          <w:szCs w:val="20"/>
          <w:lang w:eastAsia="fr-FR"/>
        </w:rPr>
        <w:t xml:space="preserve"> projets </w:t>
      </w:r>
      <w:r w:rsidR="00CA0FCA">
        <w:rPr>
          <w:rFonts w:eastAsia="Times New Roman" w:cs="Arial"/>
          <w:szCs w:val="20"/>
          <w:lang w:eastAsia="fr-FR"/>
        </w:rPr>
        <w:t>répondant au mieux aux objectifs et résultats attendus du Programme Redevabilité</w:t>
      </w:r>
      <w:r w:rsidR="00B81D3E" w:rsidRPr="00B81D3E">
        <w:rPr>
          <w:rFonts w:eastAsia="Times New Roman" w:cs="Arial"/>
          <w:szCs w:val="20"/>
          <w:lang w:eastAsia="fr-FR"/>
        </w:rPr>
        <w:t xml:space="preserve"> </w:t>
      </w:r>
      <w:r w:rsidR="00CA0FCA">
        <w:rPr>
          <w:rFonts w:eastAsia="Times New Roman" w:cs="Arial"/>
          <w:szCs w:val="20"/>
          <w:lang w:eastAsia="fr-FR"/>
        </w:rPr>
        <w:t xml:space="preserve">et aux </w:t>
      </w:r>
      <w:r w:rsidR="00B81D3E" w:rsidRPr="00B81D3E">
        <w:rPr>
          <w:rFonts w:eastAsia="Times New Roman" w:cs="Arial"/>
          <w:szCs w:val="20"/>
          <w:lang w:eastAsia="fr-FR"/>
        </w:rPr>
        <w:t xml:space="preserve">critères de sélection </w:t>
      </w:r>
      <w:r w:rsidR="00CA0FCA">
        <w:rPr>
          <w:rFonts w:eastAsia="Times New Roman" w:cs="Arial"/>
          <w:szCs w:val="20"/>
          <w:lang w:eastAsia="fr-FR"/>
        </w:rPr>
        <w:t>des</w:t>
      </w:r>
      <w:r w:rsidR="00B81D3E" w:rsidRPr="00B81D3E">
        <w:rPr>
          <w:rFonts w:eastAsia="Times New Roman" w:cs="Arial"/>
          <w:szCs w:val="20"/>
          <w:lang w:eastAsia="fr-FR"/>
        </w:rPr>
        <w:t xml:space="preserve"> lignes directrices du </w:t>
      </w:r>
      <w:r w:rsidR="00CA0FCA">
        <w:rPr>
          <w:rFonts w:eastAsia="Times New Roman" w:cs="Arial"/>
          <w:szCs w:val="20"/>
          <w:lang w:eastAsia="fr-FR"/>
        </w:rPr>
        <w:t>présent</w:t>
      </w:r>
      <w:r w:rsidR="00B81D3E" w:rsidRPr="00B81D3E">
        <w:rPr>
          <w:rFonts w:eastAsia="Times New Roman" w:cs="Arial"/>
          <w:szCs w:val="20"/>
          <w:lang w:eastAsia="fr-FR"/>
        </w:rPr>
        <w:t xml:space="preserve"> </w:t>
      </w:r>
      <w:r w:rsidR="00CA0FCA">
        <w:rPr>
          <w:rFonts w:eastAsia="Times New Roman" w:cs="Arial"/>
          <w:szCs w:val="20"/>
          <w:lang w:eastAsia="fr-FR"/>
        </w:rPr>
        <w:t>a</w:t>
      </w:r>
      <w:r w:rsidR="00B81D3E" w:rsidRPr="00B81D3E">
        <w:rPr>
          <w:rFonts w:eastAsia="Times New Roman" w:cs="Arial"/>
          <w:szCs w:val="20"/>
          <w:lang w:eastAsia="fr-FR"/>
        </w:rPr>
        <w:t>ppel.</w:t>
      </w:r>
    </w:p>
    <w:p w14:paraId="39F9438C" w14:textId="12D2ABC3" w:rsidR="00CA0FCA" w:rsidRPr="00B81D3E" w:rsidRDefault="00CA0FCA" w:rsidP="00CA0FCA">
      <w:pPr>
        <w:spacing w:after="0" w:line="240" w:lineRule="auto"/>
        <w:rPr>
          <w:rFonts w:eastAsia="Times New Roman" w:cs="Arial"/>
          <w:szCs w:val="20"/>
          <w:lang w:eastAsia="fr-FR"/>
        </w:rPr>
      </w:pPr>
      <w:r w:rsidRPr="00CA0FCA">
        <w:rPr>
          <w:rFonts w:eastAsia="Times New Roman" w:cs="Arial"/>
          <w:szCs w:val="20"/>
          <w:lang w:eastAsia="fr-FR"/>
        </w:rPr>
        <w:t>Téléchargez la liste des</w:t>
      </w:r>
      <w:r w:rsidR="00C14DFF">
        <w:rPr>
          <w:rFonts w:eastAsia="Times New Roman" w:cs="Arial"/>
          <w:szCs w:val="20"/>
          <w:lang w:eastAsia="fr-FR"/>
        </w:rPr>
        <w:t xml:space="preserve"> </w:t>
      </w:r>
      <w:bookmarkStart w:id="0" w:name="_Hlk75853698"/>
      <w:r w:rsidR="00C14DFF">
        <w:rPr>
          <w:rFonts w:eastAsia="Times New Roman" w:cs="Arial"/>
          <w:szCs w:val="20"/>
          <w:lang w:eastAsia="fr-FR"/>
        </w:rPr>
        <w:t>porteurs de projet dont les</w:t>
      </w:r>
      <w:r w:rsidRPr="00CA0FCA">
        <w:rPr>
          <w:rFonts w:eastAsia="Times New Roman" w:cs="Arial"/>
          <w:szCs w:val="20"/>
          <w:lang w:eastAsia="fr-FR"/>
        </w:rPr>
        <w:t xml:space="preserve"> </w:t>
      </w:r>
      <w:bookmarkEnd w:id="0"/>
      <w:r w:rsidRPr="00CA0FCA">
        <w:rPr>
          <w:rFonts w:eastAsia="Times New Roman" w:cs="Arial"/>
          <w:szCs w:val="20"/>
          <w:lang w:eastAsia="fr-FR"/>
        </w:rPr>
        <w:t xml:space="preserve">propositions </w:t>
      </w:r>
      <w:r w:rsidRPr="00C14DFF">
        <w:rPr>
          <w:rFonts w:eastAsia="Times New Roman" w:cs="Arial"/>
          <w:b/>
          <w:bCs/>
          <w:szCs w:val="20"/>
          <w:lang w:eastAsia="fr-FR"/>
        </w:rPr>
        <w:t>parvenues hors délai</w:t>
      </w:r>
      <w:r>
        <w:rPr>
          <w:rFonts w:eastAsia="Times New Roman" w:cs="Arial"/>
          <w:szCs w:val="20"/>
          <w:lang w:eastAsia="fr-FR"/>
        </w:rPr>
        <w:t xml:space="preserve"> </w:t>
      </w:r>
      <w:r w:rsidRPr="00CA0FCA">
        <w:rPr>
          <w:rFonts w:eastAsia="Times New Roman" w:cs="Arial"/>
          <w:color w:val="0000FF"/>
          <w:szCs w:val="20"/>
          <w:u w:val="single"/>
          <w:lang w:eastAsia="fr-FR"/>
        </w:rPr>
        <w:t xml:space="preserve">ici </w:t>
      </w:r>
    </w:p>
    <w:p w14:paraId="15A4C5C0" w14:textId="1FE97589" w:rsidR="00CA0FCA" w:rsidRDefault="00B81D3E" w:rsidP="00CA0FCA">
      <w:pPr>
        <w:spacing w:after="0" w:line="240" w:lineRule="auto"/>
        <w:rPr>
          <w:rFonts w:eastAsia="Times New Roman" w:cs="Arial"/>
          <w:color w:val="0000FF"/>
          <w:szCs w:val="20"/>
          <w:u w:val="single"/>
          <w:lang w:eastAsia="fr-FR"/>
        </w:rPr>
      </w:pPr>
      <w:r w:rsidRPr="00B81D3E">
        <w:rPr>
          <w:rFonts w:eastAsia="Times New Roman" w:cs="Arial"/>
          <w:szCs w:val="20"/>
          <w:lang w:eastAsia="fr-FR"/>
        </w:rPr>
        <w:t xml:space="preserve">Téléchargez la liste des </w:t>
      </w:r>
      <w:r w:rsidR="00C14DFF" w:rsidRPr="00C14DFF">
        <w:rPr>
          <w:rFonts w:eastAsia="Times New Roman" w:cs="Arial"/>
          <w:szCs w:val="20"/>
          <w:lang w:eastAsia="fr-FR"/>
        </w:rPr>
        <w:t xml:space="preserve">porteurs de projet dont les </w:t>
      </w:r>
      <w:r w:rsidRPr="00B81D3E">
        <w:rPr>
          <w:rFonts w:eastAsia="Times New Roman" w:cs="Arial"/>
          <w:szCs w:val="20"/>
          <w:lang w:eastAsia="fr-FR"/>
        </w:rPr>
        <w:t>propositions</w:t>
      </w:r>
      <w:r w:rsidRPr="00B81D3E">
        <w:rPr>
          <w:rFonts w:eastAsia="Times New Roman" w:cs="Arial"/>
          <w:b/>
          <w:bCs/>
          <w:szCs w:val="20"/>
          <w:lang w:eastAsia="fr-FR"/>
        </w:rPr>
        <w:t xml:space="preserve"> non éligible</w:t>
      </w:r>
      <w:r w:rsidR="00CA0FCA">
        <w:rPr>
          <w:rFonts w:eastAsia="Times New Roman" w:cs="Arial"/>
          <w:b/>
          <w:bCs/>
          <w:szCs w:val="20"/>
          <w:lang w:eastAsia="fr-FR"/>
        </w:rPr>
        <w:t>s</w:t>
      </w:r>
      <w:r w:rsidRPr="00B81D3E">
        <w:rPr>
          <w:rFonts w:eastAsia="Times New Roman" w:cs="Arial"/>
          <w:szCs w:val="20"/>
          <w:lang w:eastAsia="fr-FR"/>
        </w:rPr>
        <w:t xml:space="preserve"> </w:t>
      </w:r>
      <w:hyperlink r:id="rId8" w:tgtFrame="_blank" w:history="1">
        <w:r w:rsidRPr="00B81D3E">
          <w:rPr>
            <w:rFonts w:eastAsia="Times New Roman" w:cs="Arial"/>
            <w:color w:val="0000FF"/>
            <w:szCs w:val="20"/>
            <w:u w:val="single"/>
            <w:lang w:eastAsia="fr-FR"/>
          </w:rPr>
          <w:t>ici</w:t>
        </w:r>
      </w:hyperlink>
    </w:p>
    <w:p w14:paraId="1D24E5B2" w14:textId="1A8B15C4" w:rsidR="001C2538" w:rsidRDefault="001C2538" w:rsidP="001C2538">
      <w:pPr>
        <w:spacing w:after="0" w:line="240" w:lineRule="auto"/>
        <w:rPr>
          <w:rFonts w:eastAsia="Times New Roman" w:cs="Arial"/>
          <w:color w:val="0000FF"/>
          <w:szCs w:val="20"/>
          <w:u w:val="single"/>
          <w:lang w:eastAsia="fr-FR"/>
        </w:rPr>
      </w:pPr>
      <w:r w:rsidRPr="00B81D3E">
        <w:rPr>
          <w:rFonts w:eastAsia="Times New Roman" w:cs="Arial"/>
          <w:szCs w:val="20"/>
          <w:lang w:eastAsia="fr-FR"/>
        </w:rPr>
        <w:t xml:space="preserve">Téléchargez la liste </w:t>
      </w:r>
      <w:r>
        <w:rPr>
          <w:rFonts w:eastAsia="Times New Roman" w:cs="Arial"/>
          <w:szCs w:val="20"/>
          <w:lang w:eastAsia="fr-FR"/>
        </w:rPr>
        <w:t xml:space="preserve">des </w:t>
      </w:r>
      <w:r w:rsidRPr="00C14DFF">
        <w:rPr>
          <w:rFonts w:eastAsia="Times New Roman" w:cs="Arial"/>
          <w:szCs w:val="20"/>
          <w:lang w:eastAsia="fr-FR"/>
        </w:rPr>
        <w:t>porteurs de projet dont les</w:t>
      </w:r>
      <w:r w:rsidRPr="00B81D3E">
        <w:rPr>
          <w:rFonts w:eastAsia="Times New Roman" w:cs="Arial"/>
          <w:szCs w:val="20"/>
          <w:lang w:eastAsia="fr-FR"/>
        </w:rPr>
        <w:t xml:space="preserve"> pro</w:t>
      </w:r>
      <w:r>
        <w:rPr>
          <w:rFonts w:eastAsia="Times New Roman" w:cs="Arial"/>
          <w:szCs w:val="20"/>
          <w:lang w:eastAsia="fr-FR"/>
        </w:rPr>
        <w:t>positions</w:t>
      </w:r>
      <w:r w:rsidRPr="00B81D3E">
        <w:rPr>
          <w:rFonts w:eastAsia="Times New Roman" w:cs="Arial"/>
          <w:szCs w:val="20"/>
          <w:lang w:eastAsia="fr-FR"/>
        </w:rPr>
        <w:t xml:space="preserve"> </w:t>
      </w:r>
      <w:r w:rsidRPr="001C2538">
        <w:rPr>
          <w:rFonts w:eastAsia="Times New Roman" w:cs="Arial"/>
          <w:b/>
          <w:bCs/>
          <w:szCs w:val="20"/>
          <w:lang w:eastAsia="fr-FR"/>
        </w:rPr>
        <w:t>non</w:t>
      </w:r>
      <w:r>
        <w:rPr>
          <w:rFonts w:eastAsia="Times New Roman" w:cs="Arial"/>
          <w:szCs w:val="20"/>
          <w:lang w:eastAsia="fr-FR"/>
        </w:rPr>
        <w:t xml:space="preserve"> </w:t>
      </w:r>
      <w:r w:rsidRPr="00B81D3E">
        <w:rPr>
          <w:rFonts w:eastAsia="Times New Roman" w:cs="Arial"/>
          <w:b/>
          <w:bCs/>
          <w:szCs w:val="20"/>
          <w:lang w:eastAsia="fr-FR"/>
        </w:rPr>
        <w:t>sélectionné</w:t>
      </w:r>
      <w:r>
        <w:rPr>
          <w:rFonts w:eastAsia="Times New Roman" w:cs="Arial"/>
          <w:b/>
          <w:bCs/>
          <w:szCs w:val="20"/>
          <w:lang w:eastAsia="fr-FR"/>
        </w:rPr>
        <w:t>e</w:t>
      </w:r>
      <w:r w:rsidRPr="00B81D3E">
        <w:rPr>
          <w:rFonts w:eastAsia="Times New Roman" w:cs="Arial"/>
          <w:b/>
          <w:bCs/>
          <w:szCs w:val="20"/>
          <w:lang w:eastAsia="fr-FR"/>
        </w:rPr>
        <w:t>s</w:t>
      </w:r>
      <w:r w:rsidRPr="00B81D3E">
        <w:rPr>
          <w:rFonts w:eastAsia="Times New Roman" w:cs="Arial"/>
          <w:szCs w:val="20"/>
          <w:lang w:eastAsia="fr-FR"/>
        </w:rPr>
        <w:t xml:space="preserve"> </w:t>
      </w:r>
      <w:hyperlink r:id="rId9" w:tgtFrame="_blank" w:history="1">
        <w:r w:rsidRPr="00B81D3E">
          <w:rPr>
            <w:rFonts w:eastAsia="Times New Roman" w:cs="Arial"/>
            <w:color w:val="0000FF"/>
            <w:szCs w:val="20"/>
            <w:u w:val="single"/>
            <w:lang w:eastAsia="fr-FR"/>
          </w:rPr>
          <w:t>ici</w:t>
        </w:r>
      </w:hyperlink>
    </w:p>
    <w:p w14:paraId="406D7EEC" w14:textId="15A25A0C" w:rsidR="00CA0FCA" w:rsidRDefault="00B81D3E" w:rsidP="00CA0FCA">
      <w:pPr>
        <w:spacing w:after="0" w:line="240" w:lineRule="auto"/>
        <w:rPr>
          <w:rFonts w:eastAsia="Times New Roman" w:cs="Arial"/>
          <w:color w:val="0000FF"/>
          <w:szCs w:val="20"/>
          <w:u w:val="single"/>
          <w:lang w:eastAsia="fr-FR"/>
        </w:rPr>
      </w:pPr>
      <w:r w:rsidRPr="00B81D3E">
        <w:rPr>
          <w:rFonts w:eastAsia="Times New Roman" w:cs="Arial"/>
          <w:szCs w:val="20"/>
          <w:lang w:eastAsia="fr-FR"/>
        </w:rPr>
        <w:t xml:space="preserve">Téléchargez la liste </w:t>
      </w:r>
      <w:r w:rsidR="00C14DFF">
        <w:rPr>
          <w:rFonts w:eastAsia="Times New Roman" w:cs="Arial"/>
          <w:szCs w:val="20"/>
          <w:lang w:eastAsia="fr-FR"/>
        </w:rPr>
        <w:t xml:space="preserve">des </w:t>
      </w:r>
      <w:r w:rsidR="00C14DFF" w:rsidRPr="00C14DFF">
        <w:rPr>
          <w:rFonts w:eastAsia="Times New Roman" w:cs="Arial"/>
          <w:szCs w:val="20"/>
          <w:lang w:eastAsia="fr-FR"/>
        </w:rPr>
        <w:t>porteurs de projet dont les</w:t>
      </w:r>
      <w:r w:rsidRPr="00B81D3E">
        <w:rPr>
          <w:rFonts w:eastAsia="Times New Roman" w:cs="Arial"/>
          <w:szCs w:val="20"/>
          <w:lang w:eastAsia="fr-FR"/>
        </w:rPr>
        <w:t xml:space="preserve"> pro</w:t>
      </w:r>
      <w:r w:rsidR="00CA0FCA">
        <w:rPr>
          <w:rFonts w:eastAsia="Times New Roman" w:cs="Arial"/>
          <w:szCs w:val="20"/>
          <w:lang w:eastAsia="fr-FR"/>
        </w:rPr>
        <w:t>positions</w:t>
      </w:r>
      <w:r w:rsidRPr="00B81D3E">
        <w:rPr>
          <w:rFonts w:eastAsia="Times New Roman" w:cs="Arial"/>
          <w:szCs w:val="20"/>
          <w:lang w:eastAsia="fr-FR"/>
        </w:rPr>
        <w:t xml:space="preserve"> </w:t>
      </w:r>
      <w:r w:rsidRPr="00B81D3E">
        <w:rPr>
          <w:rFonts w:eastAsia="Times New Roman" w:cs="Arial"/>
          <w:b/>
          <w:bCs/>
          <w:szCs w:val="20"/>
          <w:lang w:eastAsia="fr-FR"/>
        </w:rPr>
        <w:t>sélectionné</w:t>
      </w:r>
      <w:r w:rsidR="00CA0FCA">
        <w:rPr>
          <w:rFonts w:eastAsia="Times New Roman" w:cs="Arial"/>
          <w:b/>
          <w:bCs/>
          <w:szCs w:val="20"/>
          <w:lang w:eastAsia="fr-FR"/>
        </w:rPr>
        <w:t>e</w:t>
      </w:r>
      <w:r w:rsidRPr="00B81D3E">
        <w:rPr>
          <w:rFonts w:eastAsia="Times New Roman" w:cs="Arial"/>
          <w:b/>
          <w:bCs/>
          <w:szCs w:val="20"/>
          <w:lang w:eastAsia="fr-FR"/>
        </w:rPr>
        <w:t>s</w:t>
      </w:r>
      <w:r w:rsidRPr="00B81D3E">
        <w:rPr>
          <w:rFonts w:eastAsia="Times New Roman" w:cs="Arial"/>
          <w:szCs w:val="20"/>
          <w:lang w:eastAsia="fr-FR"/>
        </w:rPr>
        <w:t xml:space="preserve"> </w:t>
      </w:r>
      <w:hyperlink r:id="rId10" w:tgtFrame="_blank" w:history="1">
        <w:r w:rsidRPr="00B81D3E">
          <w:rPr>
            <w:rFonts w:eastAsia="Times New Roman" w:cs="Arial"/>
            <w:color w:val="0000FF"/>
            <w:szCs w:val="20"/>
            <w:u w:val="single"/>
            <w:lang w:eastAsia="fr-FR"/>
          </w:rPr>
          <w:t>ici</w:t>
        </w:r>
      </w:hyperlink>
    </w:p>
    <w:p w14:paraId="07C4CB33" w14:textId="77777777" w:rsidR="007E6FAE" w:rsidRDefault="007E6FAE" w:rsidP="00CA0FCA">
      <w:pPr>
        <w:spacing w:after="0" w:line="240" w:lineRule="auto"/>
        <w:rPr>
          <w:rFonts w:eastAsia="Times New Roman" w:cs="Arial"/>
          <w:color w:val="0000FF"/>
          <w:szCs w:val="20"/>
          <w:u w:val="single"/>
          <w:lang w:eastAsia="fr-FR"/>
        </w:rPr>
      </w:pPr>
    </w:p>
    <w:p w14:paraId="6DB9659C" w14:textId="262806BD" w:rsidR="007E6FAE" w:rsidRDefault="007E6FAE" w:rsidP="007E6FAE">
      <w:pPr>
        <w:spacing w:after="0" w:line="240" w:lineRule="auto"/>
        <w:jc w:val="center"/>
        <w:rPr>
          <w:rFonts w:eastAsia="Times New Roman" w:cs="Arial"/>
          <w:szCs w:val="20"/>
          <w:lang w:eastAsia="fr-FR"/>
        </w:rPr>
      </w:pPr>
      <w:r w:rsidRPr="007E6FAE">
        <w:rPr>
          <w:rFonts w:eastAsia="Times New Roman" w:cs="Arial"/>
          <w:szCs w:val="20"/>
          <w:lang w:eastAsia="fr-FR"/>
        </w:rPr>
        <w:t xml:space="preserve">Fait à Cotonou, le </w:t>
      </w:r>
      <w:r w:rsidR="00E61E4D">
        <w:rPr>
          <w:rFonts w:eastAsia="Times New Roman" w:cs="Arial"/>
          <w:szCs w:val="20"/>
          <w:lang w:eastAsia="fr-FR"/>
        </w:rPr>
        <w:t>29</w:t>
      </w:r>
      <w:r w:rsidRPr="007E6FAE">
        <w:rPr>
          <w:rFonts w:eastAsia="Times New Roman" w:cs="Arial"/>
          <w:szCs w:val="20"/>
          <w:lang w:eastAsia="fr-FR"/>
        </w:rPr>
        <w:t xml:space="preserve"> juin 2021</w:t>
      </w:r>
    </w:p>
    <w:p w14:paraId="7B3CA208" w14:textId="77777777" w:rsidR="009E15F3" w:rsidRPr="00B81D3E" w:rsidRDefault="009E15F3" w:rsidP="0044199C">
      <w:pPr>
        <w:spacing w:after="120" w:line="276" w:lineRule="auto"/>
        <w:rPr>
          <w:rFonts w:cs="Arial"/>
          <w:b/>
          <w:szCs w:val="20"/>
        </w:rPr>
      </w:pPr>
    </w:p>
    <w:p w14:paraId="60E9BBEB" w14:textId="0D348D0D" w:rsidR="009E15F3" w:rsidRPr="00B81D3E" w:rsidRDefault="009E15F3" w:rsidP="009E15F3">
      <w:pPr>
        <w:spacing w:after="120" w:line="276" w:lineRule="auto"/>
        <w:jc w:val="center"/>
        <w:rPr>
          <w:rFonts w:cs="Arial"/>
          <w:b/>
          <w:szCs w:val="20"/>
        </w:rPr>
      </w:pPr>
      <w:r w:rsidRPr="00B81D3E">
        <w:rPr>
          <w:rFonts w:cs="Arial"/>
          <w:b/>
          <w:szCs w:val="20"/>
        </w:rPr>
        <w:t>Le Chef d’Equipe</w:t>
      </w:r>
      <w:r w:rsidR="00BB3F8B">
        <w:rPr>
          <w:rFonts w:cs="Arial"/>
          <w:b/>
          <w:szCs w:val="20"/>
        </w:rPr>
        <w:t xml:space="preserve"> Adjoint</w:t>
      </w:r>
      <w:r w:rsidRPr="00B81D3E">
        <w:rPr>
          <w:rFonts w:cs="Arial"/>
          <w:b/>
          <w:szCs w:val="20"/>
        </w:rPr>
        <w:t xml:space="preserve"> </w:t>
      </w:r>
    </w:p>
    <w:p w14:paraId="77068A04" w14:textId="77777777" w:rsidR="009E15F3" w:rsidRDefault="009E15F3" w:rsidP="009E15F3">
      <w:pPr>
        <w:spacing w:after="120" w:line="276" w:lineRule="auto"/>
        <w:jc w:val="center"/>
        <w:rPr>
          <w:rFonts w:cs="Arial"/>
          <w:b/>
          <w:szCs w:val="20"/>
        </w:rPr>
      </w:pPr>
    </w:p>
    <w:p w14:paraId="30E25870" w14:textId="77777777" w:rsidR="009E15F3" w:rsidRDefault="009E15F3" w:rsidP="009E15F3">
      <w:pPr>
        <w:spacing w:after="120" w:line="276" w:lineRule="auto"/>
        <w:jc w:val="center"/>
        <w:rPr>
          <w:rFonts w:cs="Arial"/>
          <w:b/>
          <w:szCs w:val="20"/>
        </w:rPr>
      </w:pPr>
    </w:p>
    <w:p w14:paraId="766796DA" w14:textId="59437D8E" w:rsidR="009E15F3" w:rsidRPr="009E15F3" w:rsidRDefault="00BB3F8B" w:rsidP="009E15F3">
      <w:pPr>
        <w:spacing w:after="120" w:line="276" w:lineRule="auto"/>
        <w:jc w:val="center"/>
        <w:rPr>
          <w:rFonts w:cs="Arial"/>
          <w:szCs w:val="20"/>
          <w:u w:val="single"/>
        </w:rPr>
      </w:pPr>
      <w:r>
        <w:rPr>
          <w:rFonts w:cs="Arial"/>
          <w:b/>
          <w:szCs w:val="20"/>
          <w:u w:val="single"/>
        </w:rPr>
        <w:t>Camille O. YABI</w:t>
      </w:r>
    </w:p>
    <w:sectPr w:rsidR="009E15F3" w:rsidRPr="009E15F3" w:rsidSect="006D21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3B6B" w14:textId="77777777" w:rsidR="00AB50DA" w:rsidRDefault="00AB50DA" w:rsidP="002E021B">
      <w:pPr>
        <w:spacing w:after="0" w:line="240" w:lineRule="auto"/>
      </w:pPr>
      <w:r>
        <w:separator/>
      </w:r>
    </w:p>
  </w:endnote>
  <w:endnote w:type="continuationSeparator" w:id="0">
    <w:p w14:paraId="4A50CF73" w14:textId="77777777" w:rsidR="00AB50DA" w:rsidRDefault="00AB50DA" w:rsidP="002E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97EF" w14:textId="77777777" w:rsidR="002E021B" w:rsidRDefault="002E021B">
    <w:pPr>
      <w:pStyle w:val="Pieddepage"/>
    </w:pPr>
    <w:r w:rsidRPr="00CB2426">
      <w:rPr>
        <w:noProof/>
        <w:lang w:eastAsia="fr-FR"/>
      </w:rPr>
      <w:drawing>
        <wp:inline distT="0" distB="0" distL="0" distR="0" wp14:anchorId="0BDDDD97" wp14:editId="598A9264">
          <wp:extent cx="5760720" cy="63447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E9DA" w14:textId="77777777" w:rsidR="00AB50DA" w:rsidRDefault="00AB50DA" w:rsidP="002E021B">
      <w:pPr>
        <w:spacing w:after="0" w:line="240" w:lineRule="auto"/>
      </w:pPr>
      <w:r>
        <w:separator/>
      </w:r>
    </w:p>
  </w:footnote>
  <w:footnote w:type="continuationSeparator" w:id="0">
    <w:p w14:paraId="50F3777E" w14:textId="77777777" w:rsidR="00AB50DA" w:rsidRDefault="00AB50DA" w:rsidP="002E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9D5A" w14:textId="77777777" w:rsidR="002E021B" w:rsidRDefault="002E021B">
    <w:pPr>
      <w:pStyle w:val="En-tte"/>
    </w:pPr>
    <w:r w:rsidRPr="0095537B">
      <w:rPr>
        <w:noProof/>
        <w:lang w:eastAsia="fr-FR"/>
      </w:rPr>
      <w:drawing>
        <wp:inline distT="0" distB="0" distL="0" distR="0" wp14:anchorId="28CAE72E" wp14:editId="0B13A642">
          <wp:extent cx="5760720" cy="613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F8"/>
    <w:multiLevelType w:val="hybridMultilevel"/>
    <w:tmpl w:val="D92C0064"/>
    <w:lvl w:ilvl="0" w:tplc="1DE06F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55B"/>
    <w:multiLevelType w:val="hybridMultilevel"/>
    <w:tmpl w:val="4A8A0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5647"/>
    <w:multiLevelType w:val="singleLevel"/>
    <w:tmpl w:val="DE1422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0"/>
        <w:szCs w:val="20"/>
      </w:rPr>
    </w:lvl>
  </w:abstractNum>
  <w:abstractNum w:abstractNumId="3" w15:restartNumberingAfterBreak="0">
    <w:nsid w:val="35DA3037"/>
    <w:multiLevelType w:val="hybridMultilevel"/>
    <w:tmpl w:val="C75A3B2E"/>
    <w:lvl w:ilvl="0" w:tplc="CFB2936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76BB"/>
    <w:multiLevelType w:val="hybridMultilevel"/>
    <w:tmpl w:val="4B5C91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0B1E"/>
    <w:multiLevelType w:val="multilevel"/>
    <w:tmpl w:val="6F34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60F1A"/>
    <w:multiLevelType w:val="hybridMultilevel"/>
    <w:tmpl w:val="3B5EE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53BA3"/>
    <w:multiLevelType w:val="hybridMultilevel"/>
    <w:tmpl w:val="410255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D7E6D"/>
    <w:multiLevelType w:val="hybridMultilevel"/>
    <w:tmpl w:val="A3E2A462"/>
    <w:lvl w:ilvl="0" w:tplc="7202561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1C31"/>
    <w:multiLevelType w:val="hybridMultilevel"/>
    <w:tmpl w:val="95A2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F1760"/>
    <w:multiLevelType w:val="hybridMultilevel"/>
    <w:tmpl w:val="DA045084"/>
    <w:lvl w:ilvl="0" w:tplc="CFB2936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039D5"/>
    <w:multiLevelType w:val="hybridMultilevel"/>
    <w:tmpl w:val="C4F690C8"/>
    <w:lvl w:ilvl="0" w:tplc="73DC20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63FAF"/>
    <w:multiLevelType w:val="hybridMultilevel"/>
    <w:tmpl w:val="E21A8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435"/>
    <w:multiLevelType w:val="hybridMultilevel"/>
    <w:tmpl w:val="03845FC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1B"/>
    <w:rsid w:val="00005F5A"/>
    <w:rsid w:val="00067B9C"/>
    <w:rsid w:val="000C16EF"/>
    <w:rsid w:val="000F68C4"/>
    <w:rsid w:val="00114395"/>
    <w:rsid w:val="00124F1C"/>
    <w:rsid w:val="00145A1D"/>
    <w:rsid w:val="001C2538"/>
    <w:rsid w:val="001F0715"/>
    <w:rsid w:val="001F577F"/>
    <w:rsid w:val="002627B6"/>
    <w:rsid w:val="00294657"/>
    <w:rsid w:val="002C09AF"/>
    <w:rsid w:val="002E021B"/>
    <w:rsid w:val="00367DA8"/>
    <w:rsid w:val="00373788"/>
    <w:rsid w:val="00380B68"/>
    <w:rsid w:val="003B1A1C"/>
    <w:rsid w:val="003C70F7"/>
    <w:rsid w:val="00421399"/>
    <w:rsid w:val="00437CF6"/>
    <w:rsid w:val="0044199C"/>
    <w:rsid w:val="00473512"/>
    <w:rsid w:val="00490C4E"/>
    <w:rsid w:val="004D4F26"/>
    <w:rsid w:val="005C7CFB"/>
    <w:rsid w:val="005D7EF7"/>
    <w:rsid w:val="006822C4"/>
    <w:rsid w:val="006823A4"/>
    <w:rsid w:val="00697ECF"/>
    <w:rsid w:val="006D21E3"/>
    <w:rsid w:val="006F2519"/>
    <w:rsid w:val="00752535"/>
    <w:rsid w:val="00754DFC"/>
    <w:rsid w:val="00764103"/>
    <w:rsid w:val="007913A2"/>
    <w:rsid w:val="007C3330"/>
    <w:rsid w:val="007E6FAE"/>
    <w:rsid w:val="00817415"/>
    <w:rsid w:val="00845E78"/>
    <w:rsid w:val="00852AA1"/>
    <w:rsid w:val="00867150"/>
    <w:rsid w:val="0087089D"/>
    <w:rsid w:val="008C18BD"/>
    <w:rsid w:val="008C5651"/>
    <w:rsid w:val="00972D19"/>
    <w:rsid w:val="00972E31"/>
    <w:rsid w:val="009C5569"/>
    <w:rsid w:val="009C6222"/>
    <w:rsid w:val="009E15F3"/>
    <w:rsid w:val="009E2AE3"/>
    <w:rsid w:val="00A07F38"/>
    <w:rsid w:val="00A23806"/>
    <w:rsid w:val="00A31902"/>
    <w:rsid w:val="00A6384A"/>
    <w:rsid w:val="00AA5E60"/>
    <w:rsid w:val="00AB50DA"/>
    <w:rsid w:val="00AC55D0"/>
    <w:rsid w:val="00AC732B"/>
    <w:rsid w:val="00B04E4A"/>
    <w:rsid w:val="00B10880"/>
    <w:rsid w:val="00B40115"/>
    <w:rsid w:val="00B561B5"/>
    <w:rsid w:val="00B64B6E"/>
    <w:rsid w:val="00B81D3E"/>
    <w:rsid w:val="00B910DC"/>
    <w:rsid w:val="00BA63BF"/>
    <w:rsid w:val="00BB3F8B"/>
    <w:rsid w:val="00BE6883"/>
    <w:rsid w:val="00C14DFF"/>
    <w:rsid w:val="00C16430"/>
    <w:rsid w:val="00C4630C"/>
    <w:rsid w:val="00C7217C"/>
    <w:rsid w:val="00CA0FCA"/>
    <w:rsid w:val="00D21A78"/>
    <w:rsid w:val="00DA1812"/>
    <w:rsid w:val="00DA7560"/>
    <w:rsid w:val="00DB6015"/>
    <w:rsid w:val="00DD6F7B"/>
    <w:rsid w:val="00DE055B"/>
    <w:rsid w:val="00E61E4D"/>
    <w:rsid w:val="00E9559D"/>
    <w:rsid w:val="00EC63B6"/>
    <w:rsid w:val="00EC7669"/>
    <w:rsid w:val="00ED14B6"/>
    <w:rsid w:val="00F23B9E"/>
    <w:rsid w:val="00F32DDC"/>
    <w:rsid w:val="00F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7194"/>
  <w15:docId w15:val="{B290DDE9-A763-4E6B-9763-8DE1AB75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B6"/>
    <w:pPr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21B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2E021B"/>
  </w:style>
  <w:style w:type="paragraph" w:styleId="Pieddepage">
    <w:name w:val="footer"/>
    <w:basedOn w:val="Normal"/>
    <w:link w:val="PieddepageCar"/>
    <w:uiPriority w:val="99"/>
    <w:unhideWhenUsed/>
    <w:rsid w:val="002E021B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E021B"/>
  </w:style>
  <w:style w:type="paragraph" w:styleId="Paragraphedeliste">
    <w:name w:val="List Paragraph"/>
    <w:aliases w:val="Titre1,Bullets,Paragraphe à Puce,References,Tableau Adere,Paragraphe de liste1,Liste 1,Medium Grid 1 - Accent 21,Colorful List - Accent 11,List Paragraph (numbered (a)),ReferencesCxSpLast,List Paragraph nowy,Numbered List Paragraph,1"/>
    <w:basedOn w:val="Normal"/>
    <w:link w:val="ParagraphedelisteCar"/>
    <w:uiPriority w:val="34"/>
    <w:qFormat/>
    <w:rsid w:val="004D4F26"/>
    <w:pPr>
      <w:spacing w:after="120" w:line="276" w:lineRule="auto"/>
      <w:ind w:left="720"/>
      <w:contextualSpacing/>
    </w:pPr>
    <w:rPr>
      <w:sz w:val="22"/>
    </w:rPr>
  </w:style>
  <w:style w:type="character" w:customStyle="1" w:styleId="ParagraphedelisteCar">
    <w:name w:val="Paragraphe de liste Car"/>
    <w:aliases w:val="Titre1 Car,Bullets Car,Paragraphe à Puce Car,References Car,Tableau Adere Car,Paragraphe de liste1 Car,Liste 1 Car,Medium Grid 1 - Accent 21 Car,Colorful List - Accent 11 Car,List Paragraph (numbered (a)) Car,1 Car"/>
    <w:link w:val="Paragraphedeliste"/>
    <w:uiPriority w:val="34"/>
    <w:qFormat/>
    <w:locked/>
    <w:rsid w:val="004D4F26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4D4F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D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9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64B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B6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4B6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B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B6E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3B1A1C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Default">
    <w:name w:val="Default"/>
    <w:rsid w:val="0075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atworkafrica.net/wp-content/uploads/2018/11/FR-Non-Eligible-list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eatworkafrica.net/wp-content/uploads/2018/11/FR-Selectionees-lis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atworkafrica.net/wp-content/uploads/2018/11/FR-Selectionees-list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D959-6FD5-4B36-80AE-E8C24C0E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Assistante Administrative</dc:creator>
  <cp:lastModifiedBy>YABI O. Camille</cp:lastModifiedBy>
  <cp:revision>5</cp:revision>
  <cp:lastPrinted>2021-04-02T10:13:00Z</cp:lastPrinted>
  <dcterms:created xsi:type="dcterms:W3CDTF">2021-06-21T15:51:00Z</dcterms:created>
  <dcterms:modified xsi:type="dcterms:W3CDTF">2021-06-30T08:45:00Z</dcterms:modified>
</cp:coreProperties>
</file>