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1"/>
        <w:gridCol w:w="6378"/>
        <w:gridCol w:w="4962"/>
      </w:tblGrid>
      <w:tr w:rsidR="000F4865" w:rsidRPr="00CA1B73" w14:paraId="730B226C" w14:textId="77777777" w:rsidTr="00C16F62">
        <w:trPr>
          <w:trHeight w:val="433"/>
        </w:trPr>
        <w:tc>
          <w:tcPr>
            <w:tcW w:w="3251" w:type="dxa"/>
            <w:vMerge w:val="restart"/>
            <w:shd w:val="clear" w:color="000000" w:fill="9BC2E6"/>
            <w:vAlign w:val="center"/>
            <w:hideMark/>
          </w:tcPr>
          <w:p w14:paraId="4536F0DC" w14:textId="77777777" w:rsidR="000F4865" w:rsidRPr="00CA1B73" w:rsidRDefault="000F4865" w:rsidP="00C16F62">
            <w:pPr>
              <w:keepNext w:val="0"/>
              <w:keepLines w:val="0"/>
              <w:widowControl w:val="0"/>
              <w:spacing w:after="0" w:line="240" w:lineRule="auto"/>
              <w:jc w:val="center"/>
              <w:rPr>
                <w:rFonts w:eastAsia="Times New Roman" w:cs="Arial"/>
                <w:b/>
                <w:bCs/>
                <w:color w:val="000000"/>
                <w:sz w:val="20"/>
                <w:szCs w:val="20"/>
                <w:lang w:eastAsia="fr-FR"/>
              </w:rPr>
            </w:pPr>
            <w:proofErr w:type="spellStart"/>
            <w:r w:rsidRPr="00CA1B73">
              <w:rPr>
                <w:rFonts w:eastAsia="Times New Roman" w:cs="Arial"/>
                <w:b/>
                <w:bCs/>
                <w:color w:val="000000"/>
                <w:sz w:val="20"/>
                <w:szCs w:val="20"/>
                <w:lang w:eastAsia="fr-FR"/>
              </w:rPr>
              <w:t>Outcomes</w:t>
            </w:r>
            <w:proofErr w:type="spellEnd"/>
            <w:r w:rsidRPr="00CA1B73">
              <w:rPr>
                <w:rFonts w:eastAsia="Times New Roman" w:cs="Arial"/>
                <w:b/>
                <w:bCs/>
                <w:color w:val="000000"/>
                <w:sz w:val="20"/>
                <w:szCs w:val="20"/>
                <w:lang w:eastAsia="fr-FR"/>
              </w:rPr>
              <w:t>/ effet</w:t>
            </w:r>
          </w:p>
        </w:tc>
        <w:tc>
          <w:tcPr>
            <w:tcW w:w="6378" w:type="dxa"/>
            <w:vMerge w:val="restart"/>
            <w:shd w:val="clear" w:color="000000" w:fill="9BC2E6"/>
            <w:vAlign w:val="center"/>
            <w:hideMark/>
          </w:tcPr>
          <w:p w14:paraId="67C314A4" w14:textId="77777777" w:rsidR="000F4865" w:rsidRPr="00CA1B73" w:rsidRDefault="000F4865" w:rsidP="00C16F62">
            <w:pPr>
              <w:keepNext w:val="0"/>
              <w:keepLines w:val="0"/>
              <w:widowControl w:val="0"/>
              <w:spacing w:after="0" w:line="240" w:lineRule="auto"/>
              <w:jc w:val="center"/>
              <w:rPr>
                <w:rFonts w:eastAsia="Times New Roman" w:cs="Arial"/>
                <w:b/>
                <w:bCs/>
                <w:color w:val="000000"/>
                <w:sz w:val="20"/>
                <w:szCs w:val="20"/>
                <w:lang w:eastAsia="fr-FR"/>
              </w:rPr>
            </w:pPr>
            <w:r w:rsidRPr="00CA1B73">
              <w:rPr>
                <w:rFonts w:eastAsia="Times New Roman" w:cs="Arial"/>
                <w:b/>
                <w:bCs/>
                <w:color w:val="000000"/>
                <w:sz w:val="20"/>
                <w:szCs w:val="20"/>
                <w:lang w:eastAsia="fr-FR"/>
              </w:rPr>
              <w:t>Indicateurs</w:t>
            </w:r>
          </w:p>
        </w:tc>
        <w:tc>
          <w:tcPr>
            <w:tcW w:w="4962" w:type="dxa"/>
            <w:vMerge w:val="restart"/>
            <w:shd w:val="clear" w:color="000000" w:fill="9BC2E6"/>
            <w:vAlign w:val="center"/>
            <w:hideMark/>
          </w:tcPr>
          <w:p w14:paraId="41FBC6EC"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t xml:space="preserve">Activités </w:t>
            </w:r>
          </w:p>
        </w:tc>
      </w:tr>
      <w:tr w:rsidR="000F4865" w:rsidRPr="00CA1B73" w14:paraId="3608CB36" w14:textId="77777777" w:rsidTr="00CA1B73">
        <w:trPr>
          <w:trHeight w:val="433"/>
        </w:trPr>
        <w:tc>
          <w:tcPr>
            <w:tcW w:w="3251" w:type="dxa"/>
            <w:vMerge/>
            <w:vAlign w:val="center"/>
            <w:hideMark/>
          </w:tcPr>
          <w:p w14:paraId="0D348F82"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
        </w:tc>
        <w:tc>
          <w:tcPr>
            <w:tcW w:w="6378" w:type="dxa"/>
            <w:vMerge/>
            <w:vAlign w:val="center"/>
            <w:hideMark/>
          </w:tcPr>
          <w:p w14:paraId="347234E3"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
        </w:tc>
        <w:tc>
          <w:tcPr>
            <w:tcW w:w="4962" w:type="dxa"/>
            <w:vMerge/>
            <w:vAlign w:val="center"/>
            <w:hideMark/>
          </w:tcPr>
          <w:p w14:paraId="1C63A6F5"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
        </w:tc>
      </w:tr>
      <w:tr w:rsidR="000F4865" w:rsidRPr="00CA1B73" w14:paraId="6E689D1C" w14:textId="77777777" w:rsidTr="00C16F62">
        <w:trPr>
          <w:trHeight w:val="1410"/>
        </w:trPr>
        <w:tc>
          <w:tcPr>
            <w:tcW w:w="14591" w:type="dxa"/>
            <w:gridSpan w:val="3"/>
            <w:shd w:val="clear" w:color="000000" w:fill="FF0000"/>
            <w:vAlign w:val="center"/>
            <w:hideMark/>
          </w:tcPr>
          <w:p w14:paraId="0A68B807"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roofErr w:type="spellStart"/>
            <w:r w:rsidRPr="00CA1B73">
              <w:rPr>
                <w:rFonts w:eastAsia="Times New Roman" w:cs="Arial"/>
                <w:b/>
                <w:bCs/>
                <w:color w:val="000000"/>
                <w:sz w:val="20"/>
                <w:szCs w:val="20"/>
                <w:u w:val="single"/>
                <w:lang w:eastAsia="fr-FR"/>
              </w:rPr>
              <w:t>Outcome</w:t>
            </w:r>
            <w:proofErr w:type="spellEnd"/>
            <w:r w:rsidRPr="00CA1B73">
              <w:rPr>
                <w:rFonts w:eastAsia="Times New Roman" w:cs="Arial"/>
                <w:b/>
                <w:bCs/>
                <w:color w:val="000000"/>
                <w:sz w:val="20"/>
                <w:szCs w:val="20"/>
                <w:u w:val="single"/>
                <w:lang w:eastAsia="fr-FR"/>
              </w:rPr>
              <w:t xml:space="preserve"> 1 :</w:t>
            </w:r>
            <w:r w:rsidRPr="00CA1B73">
              <w:rPr>
                <w:rFonts w:eastAsia="Times New Roman" w:cs="Arial"/>
                <w:b/>
                <w:bCs/>
                <w:color w:val="000000"/>
                <w:sz w:val="20"/>
                <w:szCs w:val="20"/>
                <w:lang w:eastAsia="fr-FR"/>
              </w:rPr>
              <w:t xml:space="preserve"> </w:t>
            </w:r>
            <w:r w:rsidRPr="00CA1B73">
              <w:rPr>
                <w:rFonts w:eastAsia="Times New Roman" w:cs="Arial"/>
                <w:b/>
                <w:bCs/>
                <w:color w:val="000000"/>
                <w:sz w:val="20"/>
                <w:szCs w:val="20"/>
                <w:lang w:eastAsia="fr-FR"/>
              </w:rPr>
              <w:br/>
            </w:r>
            <w:r w:rsidRPr="00CA1B73">
              <w:rPr>
                <w:rFonts w:eastAsia="Times New Roman" w:cs="Arial"/>
                <w:color w:val="000000"/>
                <w:sz w:val="20"/>
                <w:szCs w:val="20"/>
                <w:lang w:eastAsia="fr-FR"/>
              </w:rPr>
              <w:t>Les citoyens sont conscients de leurs droits et devoirs et exigent des services publics de qualité auprès des administrations centrales et locales</w:t>
            </w:r>
            <w:r w:rsidRPr="00CA1B73">
              <w:rPr>
                <w:rFonts w:eastAsia="Times New Roman" w:cs="Arial"/>
                <w:b/>
                <w:bCs/>
                <w:color w:val="000000"/>
                <w:sz w:val="20"/>
                <w:szCs w:val="20"/>
                <w:lang w:eastAsia="fr-FR"/>
              </w:rPr>
              <w:br/>
            </w:r>
            <w:r w:rsidRPr="00CA1B73">
              <w:rPr>
                <w:rFonts w:eastAsia="Times New Roman" w:cs="Arial"/>
                <w:b/>
                <w:bCs/>
                <w:color w:val="000000"/>
                <w:sz w:val="20"/>
                <w:szCs w:val="20"/>
                <w:u w:val="single"/>
                <w:lang w:eastAsia="fr-FR"/>
              </w:rPr>
              <w:t>Indicateurs :</w:t>
            </w:r>
            <w:r w:rsidRPr="00CA1B73">
              <w:rPr>
                <w:rFonts w:eastAsia="Times New Roman" w:cs="Arial"/>
                <w:b/>
                <w:bCs/>
                <w:color w:val="000000"/>
                <w:sz w:val="20"/>
                <w:szCs w:val="20"/>
                <w:u w:val="single"/>
                <w:lang w:eastAsia="fr-FR"/>
              </w:rPr>
              <w:br/>
            </w:r>
            <w:proofErr w:type="spellStart"/>
            <w:r w:rsidRPr="00CA1B73">
              <w:rPr>
                <w:rFonts w:eastAsia="Times New Roman" w:cs="Arial"/>
                <w:b/>
                <w:bCs/>
                <w:color w:val="000000"/>
                <w:sz w:val="20"/>
                <w:szCs w:val="20"/>
                <w:lang w:eastAsia="fr-FR"/>
              </w:rPr>
              <w:t>Ind</w:t>
            </w:r>
            <w:proofErr w:type="spellEnd"/>
            <w:r w:rsidRPr="00CA1B73">
              <w:rPr>
                <w:rFonts w:eastAsia="Times New Roman" w:cs="Arial"/>
                <w:b/>
                <w:bCs/>
                <w:color w:val="000000"/>
                <w:sz w:val="20"/>
                <w:szCs w:val="20"/>
                <w:lang w:eastAsia="fr-FR"/>
              </w:rPr>
              <w:t xml:space="preserve"> 1.1 : </w:t>
            </w:r>
            <w:r w:rsidRPr="00CA1B73">
              <w:rPr>
                <w:rFonts w:eastAsia="Times New Roman" w:cs="Arial"/>
                <w:color w:val="000000"/>
                <w:sz w:val="20"/>
                <w:szCs w:val="20"/>
                <w:lang w:eastAsia="fr-FR"/>
              </w:rPr>
              <w:t>Taux de recouvrement des impôts et taxes selon les régions (Commune, département et national)</w:t>
            </w:r>
            <w:r w:rsidRPr="00CA1B73">
              <w:rPr>
                <w:rFonts w:eastAsia="Times New Roman" w:cs="Arial"/>
                <w:color w:val="000000"/>
                <w:sz w:val="20"/>
                <w:szCs w:val="20"/>
                <w:lang w:eastAsia="fr-FR"/>
              </w:rPr>
              <w:br/>
            </w:r>
            <w:proofErr w:type="spellStart"/>
            <w:r w:rsidRPr="00CA1B73">
              <w:rPr>
                <w:rFonts w:eastAsia="Times New Roman" w:cs="Arial"/>
                <w:b/>
                <w:bCs/>
                <w:color w:val="000000"/>
                <w:sz w:val="20"/>
                <w:szCs w:val="20"/>
                <w:lang w:eastAsia="fr-FR"/>
              </w:rPr>
              <w:t>Ind</w:t>
            </w:r>
            <w:proofErr w:type="spellEnd"/>
            <w:r w:rsidRPr="00CA1B73">
              <w:rPr>
                <w:rFonts w:eastAsia="Times New Roman" w:cs="Arial"/>
                <w:b/>
                <w:bCs/>
                <w:color w:val="000000"/>
                <w:sz w:val="20"/>
                <w:szCs w:val="20"/>
                <w:lang w:eastAsia="fr-FR"/>
              </w:rPr>
              <w:t xml:space="preserve"> 1.2 : </w:t>
            </w:r>
            <w:r w:rsidRPr="00CA1B73">
              <w:rPr>
                <w:rFonts w:eastAsia="Times New Roman" w:cs="Arial"/>
                <w:color w:val="000000"/>
                <w:sz w:val="20"/>
                <w:szCs w:val="20"/>
                <w:lang w:eastAsia="fr-FR"/>
              </w:rPr>
              <w:t>Proportion des citoyens touchée par le programme conscients de leurs droits  et devoirs et qui exigent des services de qualité</w:t>
            </w:r>
            <w:r w:rsidRPr="00CA1B73">
              <w:rPr>
                <w:rFonts w:eastAsia="Times New Roman" w:cs="Arial"/>
                <w:color w:val="000000"/>
                <w:sz w:val="20"/>
                <w:szCs w:val="20"/>
                <w:lang w:eastAsia="fr-FR"/>
              </w:rPr>
              <w:br/>
            </w:r>
            <w:proofErr w:type="spellStart"/>
            <w:r w:rsidRPr="00CA1B73">
              <w:rPr>
                <w:rFonts w:eastAsia="Times New Roman" w:cs="Arial"/>
                <w:b/>
                <w:bCs/>
                <w:color w:val="000000"/>
                <w:sz w:val="20"/>
                <w:szCs w:val="20"/>
                <w:lang w:eastAsia="fr-FR"/>
              </w:rPr>
              <w:t>Ind</w:t>
            </w:r>
            <w:proofErr w:type="spellEnd"/>
            <w:r w:rsidRPr="00CA1B73">
              <w:rPr>
                <w:rFonts w:eastAsia="Times New Roman" w:cs="Arial"/>
                <w:b/>
                <w:bCs/>
                <w:color w:val="000000"/>
                <w:sz w:val="20"/>
                <w:szCs w:val="20"/>
                <w:lang w:eastAsia="fr-FR"/>
              </w:rPr>
              <w:t xml:space="preserve"> 1.3 : </w:t>
            </w:r>
            <w:r w:rsidRPr="00CA1B73">
              <w:rPr>
                <w:rFonts w:eastAsia="Times New Roman" w:cs="Arial"/>
                <w:color w:val="000000"/>
                <w:sz w:val="20"/>
                <w:szCs w:val="20"/>
                <w:lang w:eastAsia="fr-FR"/>
              </w:rPr>
              <w:t>Proportion des citoyens touchés qui connaissent les institutions de régulation et de contrôle ainsi que leur rôle et pouvant les saisir</w:t>
            </w:r>
          </w:p>
        </w:tc>
      </w:tr>
      <w:tr w:rsidR="000F4865" w:rsidRPr="00CA1B73" w14:paraId="734876A6" w14:textId="77777777" w:rsidTr="00C16F62">
        <w:trPr>
          <w:trHeight w:val="300"/>
        </w:trPr>
        <w:tc>
          <w:tcPr>
            <w:tcW w:w="3251" w:type="dxa"/>
            <w:shd w:val="clear" w:color="000000" w:fill="E7E6E6"/>
            <w:vAlign w:val="center"/>
            <w:hideMark/>
          </w:tcPr>
          <w:p w14:paraId="3E6040B2"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t>Total output 1.1 :</w:t>
            </w:r>
          </w:p>
        </w:tc>
        <w:tc>
          <w:tcPr>
            <w:tcW w:w="6378" w:type="dxa"/>
            <w:shd w:val="clear" w:color="000000" w:fill="E7E6E6"/>
            <w:vAlign w:val="center"/>
            <w:hideMark/>
          </w:tcPr>
          <w:p w14:paraId="0D9EBA85"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t> </w:t>
            </w:r>
          </w:p>
        </w:tc>
        <w:tc>
          <w:tcPr>
            <w:tcW w:w="4962" w:type="dxa"/>
            <w:shd w:val="clear" w:color="000000" w:fill="E7E6E6"/>
            <w:vAlign w:val="center"/>
            <w:hideMark/>
          </w:tcPr>
          <w:p w14:paraId="1D66293B"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t> </w:t>
            </w:r>
          </w:p>
        </w:tc>
      </w:tr>
      <w:tr w:rsidR="00DF5764" w:rsidRPr="00CA1B73" w14:paraId="01AA2222" w14:textId="77777777" w:rsidTr="009C4365">
        <w:trPr>
          <w:trHeight w:val="682"/>
        </w:trPr>
        <w:tc>
          <w:tcPr>
            <w:tcW w:w="3251" w:type="dxa"/>
            <w:vMerge w:val="restart"/>
            <w:shd w:val="clear" w:color="auto" w:fill="auto"/>
            <w:vAlign w:val="center"/>
            <w:hideMark/>
          </w:tcPr>
          <w:p w14:paraId="3DFCC3AD" w14:textId="77777777" w:rsidR="00DF5764" w:rsidRPr="00CA1B73" w:rsidRDefault="00DF5764" w:rsidP="00DF5764">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t xml:space="preserve">Output 1.1 : Les OSC professionnelles (spécialisées dans des domaines spécifiques) contribuent efficacement à l’éducation civique et à l’appropriation de la redevabilité sociale </w:t>
            </w:r>
          </w:p>
        </w:tc>
        <w:tc>
          <w:tcPr>
            <w:tcW w:w="6378" w:type="dxa"/>
            <w:shd w:val="clear" w:color="auto" w:fill="auto"/>
            <w:hideMark/>
          </w:tcPr>
          <w:p w14:paraId="24EBA9FA" w14:textId="5A0673B1" w:rsidR="00DF5764" w:rsidRPr="00CA1B73" w:rsidRDefault="00DF5764" w:rsidP="00DF5764">
            <w:pPr>
              <w:keepNext w:val="0"/>
              <w:keepLines w:val="0"/>
              <w:widowControl w:val="0"/>
              <w:spacing w:after="0" w:line="240" w:lineRule="auto"/>
              <w:jc w:val="left"/>
              <w:rPr>
                <w:rFonts w:cs="Arial"/>
                <w:sz w:val="20"/>
                <w:szCs w:val="20"/>
              </w:rPr>
            </w:pPr>
            <w:r w:rsidRPr="00CA1B73">
              <w:rPr>
                <w:rFonts w:cs="Arial"/>
                <w:sz w:val="20"/>
                <w:szCs w:val="20"/>
              </w:rPr>
              <w:t>Ind.1.1.2</w:t>
            </w:r>
            <w:r w:rsidRPr="00CA1B73">
              <w:rPr>
                <w:rFonts w:cs="Arial"/>
                <w:sz w:val="20"/>
                <w:szCs w:val="20"/>
              </w:rPr>
              <w:t xml:space="preserve"> </w:t>
            </w:r>
            <w:r w:rsidRPr="00CA1B73">
              <w:rPr>
                <w:rFonts w:cs="Arial"/>
                <w:sz w:val="20"/>
                <w:szCs w:val="20"/>
              </w:rPr>
              <w:t xml:space="preserve">Nombre d'organisations de base de chacun des quatre secteurs (santé, éducation, eau et assainissement, état </w:t>
            </w:r>
            <w:proofErr w:type="gramStart"/>
            <w:r w:rsidRPr="00CA1B73">
              <w:rPr>
                <w:rFonts w:cs="Arial"/>
                <w:sz w:val="20"/>
                <w:szCs w:val="20"/>
              </w:rPr>
              <w:t>civil )</w:t>
            </w:r>
            <w:proofErr w:type="gramEnd"/>
            <w:r w:rsidRPr="00CA1B73">
              <w:rPr>
                <w:rFonts w:cs="Arial"/>
                <w:sz w:val="20"/>
                <w:szCs w:val="20"/>
              </w:rPr>
              <w:t xml:space="preserve"> formées sur l’éducation civique, les droits spécifiques et la redevabilité sociale</w:t>
            </w:r>
          </w:p>
        </w:tc>
        <w:tc>
          <w:tcPr>
            <w:tcW w:w="4962" w:type="dxa"/>
            <w:vMerge w:val="restart"/>
            <w:shd w:val="clear" w:color="000000" w:fill="00B050"/>
            <w:vAlign w:val="center"/>
            <w:hideMark/>
          </w:tcPr>
          <w:p w14:paraId="7FE4A565" w14:textId="35EED8FF" w:rsidR="00DF5764" w:rsidRPr="00CA1B73" w:rsidRDefault="00DF5764" w:rsidP="00DF5764">
            <w:pPr>
              <w:keepNext w:val="0"/>
              <w:keepLines w:val="0"/>
              <w:widowControl w:val="0"/>
              <w:spacing w:after="0" w:line="240" w:lineRule="auto"/>
              <w:jc w:val="left"/>
              <w:rPr>
                <w:rFonts w:eastAsia="Times New Roman" w:cs="Arial"/>
                <w:color w:val="000000"/>
                <w:sz w:val="20"/>
                <w:szCs w:val="20"/>
                <w:lang w:eastAsia="fr-FR"/>
              </w:rPr>
            </w:pPr>
            <w:r w:rsidRPr="00CA1B73">
              <w:rPr>
                <w:rFonts w:eastAsia="Times New Roman" w:cs="Arial"/>
                <w:color w:val="000000"/>
                <w:sz w:val="20"/>
                <w:szCs w:val="20"/>
                <w:lang w:eastAsia="fr-FR"/>
              </w:rPr>
              <w:t>Soutien aux initiatives de redevabilité portées par les OSC (éducation civique et appropriation de la redevabilité sociale)</w:t>
            </w:r>
          </w:p>
        </w:tc>
      </w:tr>
      <w:tr w:rsidR="00DF5764" w:rsidRPr="00CA1B73" w14:paraId="41B6840D" w14:textId="77777777" w:rsidTr="009C4365">
        <w:trPr>
          <w:trHeight w:val="510"/>
        </w:trPr>
        <w:tc>
          <w:tcPr>
            <w:tcW w:w="3251" w:type="dxa"/>
            <w:vMerge/>
            <w:vAlign w:val="center"/>
            <w:hideMark/>
          </w:tcPr>
          <w:p w14:paraId="76EC315D" w14:textId="77777777" w:rsidR="00DF5764" w:rsidRPr="00CA1B73" w:rsidRDefault="00DF5764" w:rsidP="00DF5764">
            <w:pPr>
              <w:keepNext w:val="0"/>
              <w:keepLines w:val="0"/>
              <w:widowControl w:val="0"/>
              <w:spacing w:after="0" w:line="240" w:lineRule="auto"/>
              <w:jc w:val="left"/>
              <w:rPr>
                <w:rFonts w:eastAsia="Times New Roman" w:cs="Arial"/>
                <w:b/>
                <w:bCs/>
                <w:color w:val="000000"/>
                <w:sz w:val="20"/>
                <w:szCs w:val="20"/>
                <w:lang w:eastAsia="fr-FR"/>
              </w:rPr>
            </w:pPr>
          </w:p>
        </w:tc>
        <w:tc>
          <w:tcPr>
            <w:tcW w:w="6378" w:type="dxa"/>
            <w:shd w:val="clear" w:color="auto" w:fill="auto"/>
            <w:hideMark/>
          </w:tcPr>
          <w:p w14:paraId="5E2EB3C5" w14:textId="7FDAD2C3" w:rsidR="00DF5764" w:rsidRPr="00CA1B73" w:rsidRDefault="00DF5764" w:rsidP="00DF5764">
            <w:pPr>
              <w:keepNext w:val="0"/>
              <w:keepLines w:val="0"/>
              <w:widowControl w:val="0"/>
              <w:spacing w:after="0" w:line="240" w:lineRule="auto"/>
              <w:jc w:val="left"/>
              <w:rPr>
                <w:rFonts w:cs="Arial"/>
                <w:sz w:val="20"/>
                <w:szCs w:val="20"/>
              </w:rPr>
            </w:pPr>
            <w:r w:rsidRPr="00CA1B73">
              <w:rPr>
                <w:rFonts w:cs="Arial"/>
                <w:sz w:val="20"/>
                <w:szCs w:val="20"/>
              </w:rPr>
              <w:t>Ind.1.1.3</w:t>
            </w:r>
            <w:r w:rsidRPr="00CA1B73">
              <w:rPr>
                <w:rFonts w:cs="Arial"/>
                <w:sz w:val="20"/>
                <w:szCs w:val="20"/>
              </w:rPr>
              <w:t xml:space="preserve"> </w:t>
            </w:r>
            <w:r w:rsidRPr="00CA1B73">
              <w:rPr>
                <w:rFonts w:cs="Arial"/>
                <w:sz w:val="20"/>
                <w:szCs w:val="20"/>
              </w:rPr>
              <w:t>Nombre de citoyens touchés par les OSC de base (homme/femme)</w:t>
            </w:r>
          </w:p>
        </w:tc>
        <w:tc>
          <w:tcPr>
            <w:tcW w:w="4962" w:type="dxa"/>
            <w:vMerge/>
            <w:vAlign w:val="center"/>
            <w:hideMark/>
          </w:tcPr>
          <w:p w14:paraId="40B38307" w14:textId="77777777" w:rsidR="00DF5764" w:rsidRPr="00CA1B73" w:rsidRDefault="00DF5764" w:rsidP="00DF5764">
            <w:pPr>
              <w:keepNext w:val="0"/>
              <w:keepLines w:val="0"/>
              <w:widowControl w:val="0"/>
              <w:spacing w:after="0" w:line="240" w:lineRule="auto"/>
              <w:jc w:val="left"/>
              <w:rPr>
                <w:rFonts w:eastAsia="Times New Roman" w:cs="Arial"/>
                <w:color w:val="000000"/>
                <w:sz w:val="20"/>
                <w:szCs w:val="20"/>
                <w:lang w:eastAsia="fr-FR"/>
              </w:rPr>
            </w:pPr>
          </w:p>
        </w:tc>
      </w:tr>
      <w:tr w:rsidR="00DF5764" w:rsidRPr="00CA1B73" w14:paraId="0DEDF9A0" w14:textId="77777777" w:rsidTr="009C4365">
        <w:trPr>
          <w:trHeight w:val="510"/>
        </w:trPr>
        <w:tc>
          <w:tcPr>
            <w:tcW w:w="3251" w:type="dxa"/>
            <w:vMerge/>
            <w:vAlign w:val="center"/>
            <w:hideMark/>
          </w:tcPr>
          <w:p w14:paraId="11F4BEC4" w14:textId="77777777" w:rsidR="00DF5764" w:rsidRPr="00CA1B73" w:rsidRDefault="00DF5764" w:rsidP="00DF5764">
            <w:pPr>
              <w:keepNext w:val="0"/>
              <w:keepLines w:val="0"/>
              <w:widowControl w:val="0"/>
              <w:spacing w:after="0" w:line="240" w:lineRule="auto"/>
              <w:jc w:val="left"/>
              <w:rPr>
                <w:rFonts w:eastAsia="Times New Roman" w:cs="Arial"/>
                <w:b/>
                <w:bCs/>
                <w:color w:val="000000"/>
                <w:sz w:val="20"/>
                <w:szCs w:val="20"/>
                <w:lang w:eastAsia="fr-FR"/>
              </w:rPr>
            </w:pPr>
          </w:p>
        </w:tc>
        <w:tc>
          <w:tcPr>
            <w:tcW w:w="6378" w:type="dxa"/>
            <w:shd w:val="clear" w:color="auto" w:fill="auto"/>
            <w:hideMark/>
          </w:tcPr>
          <w:p w14:paraId="75472916" w14:textId="106235DD" w:rsidR="00DF5764" w:rsidRPr="00CA1B73" w:rsidRDefault="00DF5764" w:rsidP="00DF5764">
            <w:pPr>
              <w:keepNext w:val="0"/>
              <w:keepLines w:val="0"/>
              <w:widowControl w:val="0"/>
              <w:spacing w:after="0" w:line="240" w:lineRule="auto"/>
              <w:jc w:val="left"/>
              <w:rPr>
                <w:rFonts w:cs="Arial"/>
                <w:sz w:val="20"/>
                <w:szCs w:val="20"/>
              </w:rPr>
            </w:pPr>
            <w:r w:rsidRPr="00CA1B73">
              <w:rPr>
                <w:rFonts w:cs="Arial"/>
                <w:sz w:val="20"/>
                <w:szCs w:val="20"/>
              </w:rPr>
              <w:t>Ind.1.1.4</w:t>
            </w:r>
            <w:r w:rsidRPr="00CA1B73">
              <w:rPr>
                <w:rFonts w:cs="Arial"/>
                <w:sz w:val="20"/>
                <w:szCs w:val="20"/>
              </w:rPr>
              <w:t xml:space="preserve"> </w:t>
            </w:r>
            <w:r w:rsidRPr="00CA1B73">
              <w:rPr>
                <w:rFonts w:cs="Arial"/>
                <w:sz w:val="20"/>
                <w:szCs w:val="20"/>
              </w:rPr>
              <w:t xml:space="preserve">Proportion d'Organisations de base </w:t>
            </w:r>
            <w:r w:rsidRPr="00CA1B73">
              <w:rPr>
                <w:rFonts w:cs="Arial"/>
                <w:sz w:val="20"/>
                <w:szCs w:val="20"/>
              </w:rPr>
              <w:t>formées</w:t>
            </w:r>
            <w:r w:rsidRPr="00CA1B73">
              <w:rPr>
                <w:rFonts w:cs="Arial"/>
                <w:sz w:val="20"/>
                <w:szCs w:val="20"/>
              </w:rPr>
              <w:t xml:space="preserve"> porteuses d'initiatives de redevabilité</w:t>
            </w:r>
          </w:p>
        </w:tc>
        <w:tc>
          <w:tcPr>
            <w:tcW w:w="4962" w:type="dxa"/>
            <w:vMerge/>
            <w:vAlign w:val="center"/>
            <w:hideMark/>
          </w:tcPr>
          <w:p w14:paraId="4600208F" w14:textId="77777777" w:rsidR="00DF5764" w:rsidRPr="00CA1B73" w:rsidRDefault="00DF5764" w:rsidP="00DF5764">
            <w:pPr>
              <w:keepNext w:val="0"/>
              <w:keepLines w:val="0"/>
              <w:widowControl w:val="0"/>
              <w:spacing w:after="0" w:line="240" w:lineRule="auto"/>
              <w:jc w:val="left"/>
              <w:rPr>
                <w:rFonts w:eastAsia="Times New Roman" w:cs="Arial"/>
                <w:color w:val="000000"/>
                <w:sz w:val="20"/>
                <w:szCs w:val="20"/>
                <w:lang w:eastAsia="fr-FR"/>
              </w:rPr>
            </w:pPr>
          </w:p>
        </w:tc>
      </w:tr>
      <w:tr w:rsidR="000F4865" w:rsidRPr="00CA1B73" w14:paraId="50EC1E74" w14:textId="77777777" w:rsidTr="00C16F62">
        <w:trPr>
          <w:trHeight w:val="300"/>
        </w:trPr>
        <w:tc>
          <w:tcPr>
            <w:tcW w:w="14591" w:type="dxa"/>
            <w:gridSpan w:val="3"/>
            <w:shd w:val="clear" w:color="000000" w:fill="E7E6E6"/>
            <w:vAlign w:val="center"/>
            <w:hideMark/>
          </w:tcPr>
          <w:p w14:paraId="7D8E2346"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t>Total output 1.2 :</w:t>
            </w:r>
          </w:p>
        </w:tc>
      </w:tr>
      <w:tr w:rsidR="000F4865" w:rsidRPr="00CA1B73" w14:paraId="28EBBFF0" w14:textId="77777777" w:rsidTr="00C16F62">
        <w:trPr>
          <w:trHeight w:val="510"/>
        </w:trPr>
        <w:tc>
          <w:tcPr>
            <w:tcW w:w="3251" w:type="dxa"/>
            <w:vMerge w:val="restart"/>
            <w:shd w:val="clear" w:color="auto" w:fill="auto"/>
            <w:vAlign w:val="center"/>
            <w:hideMark/>
          </w:tcPr>
          <w:p w14:paraId="0D5922E2"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u w:val="single"/>
                <w:lang w:eastAsia="fr-FR"/>
              </w:rPr>
              <w:t>Output 1.2 :</w:t>
            </w:r>
            <w:r w:rsidRPr="00CA1B73">
              <w:rPr>
                <w:rFonts w:eastAsia="Times New Roman" w:cs="Arial"/>
                <w:b/>
                <w:bCs/>
                <w:color w:val="000000"/>
                <w:sz w:val="20"/>
                <w:szCs w:val="20"/>
                <w:lang w:eastAsia="fr-FR"/>
              </w:rPr>
              <w:t xml:space="preserve"> Les associations d’usagers de services publics (</w:t>
            </w:r>
            <w:proofErr w:type="spellStart"/>
            <w:r w:rsidRPr="00CA1B73">
              <w:rPr>
                <w:rFonts w:eastAsia="Times New Roman" w:cs="Arial"/>
                <w:b/>
                <w:bCs/>
                <w:color w:val="000000"/>
                <w:sz w:val="20"/>
                <w:szCs w:val="20"/>
                <w:lang w:eastAsia="fr-FR"/>
              </w:rPr>
              <w:t>AUSPu</w:t>
            </w:r>
            <w:proofErr w:type="spellEnd"/>
            <w:r w:rsidRPr="00CA1B73">
              <w:rPr>
                <w:rFonts w:eastAsia="Times New Roman" w:cs="Arial"/>
                <w:b/>
                <w:bCs/>
                <w:color w:val="000000"/>
                <w:sz w:val="20"/>
                <w:szCs w:val="20"/>
                <w:lang w:eastAsia="fr-FR"/>
              </w:rPr>
              <w:t xml:space="preserve">) émergent dans les secteurs prioritaires et sont structurées du niveau local au niveau national </w:t>
            </w:r>
          </w:p>
        </w:tc>
        <w:tc>
          <w:tcPr>
            <w:tcW w:w="6378" w:type="dxa"/>
            <w:shd w:val="clear" w:color="auto" w:fill="auto"/>
            <w:vAlign w:val="center"/>
            <w:hideMark/>
          </w:tcPr>
          <w:p w14:paraId="2F9BEA4E" w14:textId="5336D943" w:rsidR="000F4865" w:rsidRPr="00CA1B73" w:rsidRDefault="000F4865" w:rsidP="00C16F62">
            <w:pPr>
              <w:keepNext w:val="0"/>
              <w:keepLines w:val="0"/>
              <w:widowControl w:val="0"/>
              <w:spacing w:after="0" w:line="240" w:lineRule="auto"/>
              <w:jc w:val="left"/>
              <w:rPr>
                <w:rFonts w:cs="Arial"/>
                <w:sz w:val="20"/>
                <w:szCs w:val="20"/>
              </w:rPr>
            </w:pPr>
            <w:proofErr w:type="spellStart"/>
            <w:r w:rsidRPr="00CA1B73">
              <w:rPr>
                <w:rFonts w:cs="Arial"/>
                <w:sz w:val="20"/>
                <w:szCs w:val="20"/>
              </w:rPr>
              <w:t>Ind</w:t>
            </w:r>
            <w:proofErr w:type="spellEnd"/>
            <w:r w:rsidRPr="00CA1B73">
              <w:rPr>
                <w:rFonts w:cs="Arial"/>
                <w:sz w:val="20"/>
                <w:szCs w:val="20"/>
              </w:rPr>
              <w:t xml:space="preserve"> 1.2.1 : </w:t>
            </w:r>
            <w:r w:rsidR="00DF5764" w:rsidRPr="00CA1B73">
              <w:rPr>
                <w:rFonts w:cs="Arial"/>
                <w:sz w:val="20"/>
                <w:szCs w:val="20"/>
              </w:rPr>
              <w:t>Proportion d'</w:t>
            </w:r>
            <w:proofErr w:type="spellStart"/>
            <w:r w:rsidR="00DF5764" w:rsidRPr="00CA1B73">
              <w:rPr>
                <w:rFonts w:cs="Arial"/>
                <w:sz w:val="20"/>
                <w:szCs w:val="20"/>
              </w:rPr>
              <w:t>AUSPu</w:t>
            </w:r>
            <w:proofErr w:type="spellEnd"/>
            <w:r w:rsidR="00DF5764" w:rsidRPr="00CA1B73">
              <w:rPr>
                <w:rFonts w:cs="Arial"/>
                <w:sz w:val="20"/>
                <w:szCs w:val="20"/>
              </w:rPr>
              <w:t xml:space="preserve"> formées ayant adressé des plaintes aux autorités locales</w:t>
            </w:r>
          </w:p>
        </w:tc>
        <w:tc>
          <w:tcPr>
            <w:tcW w:w="4962" w:type="dxa"/>
            <w:vMerge w:val="restart"/>
            <w:shd w:val="clear" w:color="000000" w:fill="00B050"/>
            <w:vAlign w:val="center"/>
            <w:hideMark/>
          </w:tcPr>
          <w:p w14:paraId="0B7880A4" w14:textId="2B407ACE" w:rsidR="000F4865" w:rsidRPr="00CA1B73" w:rsidRDefault="000F4865" w:rsidP="00C16F62">
            <w:pPr>
              <w:keepNext w:val="0"/>
              <w:keepLines w:val="0"/>
              <w:widowControl w:val="0"/>
              <w:spacing w:after="0" w:line="240" w:lineRule="auto"/>
              <w:jc w:val="left"/>
              <w:rPr>
                <w:rFonts w:eastAsia="Times New Roman" w:cs="Arial"/>
                <w:color w:val="000000"/>
                <w:sz w:val="20"/>
                <w:szCs w:val="20"/>
                <w:lang w:eastAsia="fr-FR"/>
              </w:rPr>
            </w:pPr>
            <w:r w:rsidRPr="00CA1B73">
              <w:rPr>
                <w:rFonts w:eastAsia="Times New Roman" w:cs="Arial"/>
                <w:color w:val="000000"/>
                <w:sz w:val="20"/>
                <w:szCs w:val="20"/>
                <w:lang w:eastAsia="fr-FR"/>
              </w:rPr>
              <w:t xml:space="preserve">Soutien aux </w:t>
            </w:r>
            <w:r w:rsidR="00277D86" w:rsidRPr="00CA1B73">
              <w:rPr>
                <w:rFonts w:eastAsia="Times New Roman" w:cs="Arial"/>
                <w:color w:val="000000"/>
                <w:sz w:val="20"/>
                <w:szCs w:val="20"/>
                <w:lang w:eastAsia="fr-FR"/>
              </w:rPr>
              <w:t>initiatives</w:t>
            </w:r>
            <w:r w:rsidRPr="00CA1B73">
              <w:rPr>
                <w:rFonts w:eastAsia="Times New Roman" w:cs="Arial"/>
                <w:color w:val="000000"/>
                <w:sz w:val="20"/>
                <w:szCs w:val="20"/>
                <w:lang w:eastAsia="fr-FR"/>
              </w:rPr>
              <w:t xml:space="preserve"> de redevabilité portées par les OSC (Appui à l'émergence des </w:t>
            </w:r>
            <w:proofErr w:type="spellStart"/>
            <w:r w:rsidRPr="00CA1B73">
              <w:rPr>
                <w:rFonts w:eastAsia="Times New Roman" w:cs="Arial"/>
                <w:color w:val="000000"/>
                <w:sz w:val="20"/>
                <w:szCs w:val="20"/>
                <w:lang w:eastAsia="fr-FR"/>
              </w:rPr>
              <w:t>AUSPu</w:t>
            </w:r>
            <w:proofErr w:type="spellEnd"/>
            <w:r w:rsidRPr="00CA1B73">
              <w:rPr>
                <w:rFonts w:eastAsia="Times New Roman" w:cs="Arial"/>
                <w:color w:val="000000"/>
                <w:sz w:val="20"/>
                <w:szCs w:val="20"/>
                <w:lang w:eastAsia="fr-FR"/>
              </w:rPr>
              <w:t>)</w:t>
            </w:r>
          </w:p>
        </w:tc>
      </w:tr>
      <w:tr w:rsidR="000F4865" w:rsidRPr="00CA1B73" w14:paraId="28FE46D1" w14:textId="77777777" w:rsidTr="00C16F62">
        <w:trPr>
          <w:trHeight w:val="510"/>
        </w:trPr>
        <w:tc>
          <w:tcPr>
            <w:tcW w:w="3251" w:type="dxa"/>
            <w:vMerge/>
            <w:vAlign w:val="center"/>
            <w:hideMark/>
          </w:tcPr>
          <w:p w14:paraId="772F220A"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
        </w:tc>
        <w:tc>
          <w:tcPr>
            <w:tcW w:w="6378" w:type="dxa"/>
            <w:shd w:val="clear" w:color="auto" w:fill="auto"/>
            <w:vAlign w:val="center"/>
            <w:hideMark/>
          </w:tcPr>
          <w:p w14:paraId="6639E140" w14:textId="730184AD" w:rsidR="000F4865" w:rsidRPr="00CA1B73" w:rsidRDefault="000F4865" w:rsidP="00C16F62">
            <w:pPr>
              <w:keepNext w:val="0"/>
              <w:keepLines w:val="0"/>
              <w:widowControl w:val="0"/>
              <w:spacing w:after="0" w:line="240" w:lineRule="auto"/>
              <w:jc w:val="left"/>
              <w:rPr>
                <w:rFonts w:cs="Arial"/>
                <w:sz w:val="20"/>
                <w:szCs w:val="20"/>
              </w:rPr>
            </w:pPr>
            <w:proofErr w:type="spellStart"/>
            <w:r w:rsidRPr="00CA1B73">
              <w:rPr>
                <w:rFonts w:cs="Arial"/>
                <w:sz w:val="20"/>
                <w:szCs w:val="20"/>
              </w:rPr>
              <w:t>Ind</w:t>
            </w:r>
            <w:proofErr w:type="spellEnd"/>
            <w:r w:rsidRPr="00CA1B73">
              <w:rPr>
                <w:rFonts w:cs="Arial"/>
                <w:sz w:val="20"/>
                <w:szCs w:val="20"/>
              </w:rPr>
              <w:t xml:space="preserve"> 1.2.2 : </w:t>
            </w:r>
            <w:r w:rsidR="00DF5764" w:rsidRPr="00CA1B73">
              <w:rPr>
                <w:rFonts w:cs="Arial"/>
                <w:sz w:val="20"/>
                <w:szCs w:val="20"/>
              </w:rPr>
              <w:t>Proportion d'</w:t>
            </w:r>
            <w:proofErr w:type="spellStart"/>
            <w:r w:rsidR="00DF5764" w:rsidRPr="00CA1B73">
              <w:rPr>
                <w:rFonts w:cs="Arial"/>
                <w:sz w:val="20"/>
                <w:szCs w:val="20"/>
              </w:rPr>
              <w:t>AUSPu</w:t>
            </w:r>
            <w:proofErr w:type="spellEnd"/>
            <w:r w:rsidR="00DF5764" w:rsidRPr="00CA1B73">
              <w:rPr>
                <w:rFonts w:cs="Arial"/>
                <w:sz w:val="20"/>
                <w:szCs w:val="20"/>
              </w:rPr>
              <w:t xml:space="preserve"> structurées parmi celles appuyées ou renforcées dans les secteurs thématiques</w:t>
            </w:r>
          </w:p>
        </w:tc>
        <w:tc>
          <w:tcPr>
            <w:tcW w:w="4962" w:type="dxa"/>
            <w:vMerge/>
            <w:vAlign w:val="center"/>
            <w:hideMark/>
          </w:tcPr>
          <w:p w14:paraId="55834BC2" w14:textId="77777777" w:rsidR="000F4865" w:rsidRPr="00CA1B73" w:rsidRDefault="000F4865" w:rsidP="00C16F62">
            <w:pPr>
              <w:keepNext w:val="0"/>
              <w:keepLines w:val="0"/>
              <w:widowControl w:val="0"/>
              <w:spacing w:after="0" w:line="240" w:lineRule="auto"/>
              <w:jc w:val="left"/>
              <w:rPr>
                <w:rFonts w:eastAsia="Times New Roman" w:cs="Arial"/>
                <w:color w:val="000000"/>
                <w:sz w:val="20"/>
                <w:szCs w:val="20"/>
                <w:lang w:eastAsia="fr-FR"/>
              </w:rPr>
            </w:pPr>
          </w:p>
        </w:tc>
      </w:tr>
      <w:tr w:rsidR="000F4865" w:rsidRPr="00CA1B73" w14:paraId="28C02A59" w14:textId="77777777" w:rsidTr="00C16F62">
        <w:trPr>
          <w:trHeight w:val="300"/>
        </w:trPr>
        <w:tc>
          <w:tcPr>
            <w:tcW w:w="14591" w:type="dxa"/>
            <w:gridSpan w:val="3"/>
            <w:shd w:val="clear" w:color="000000" w:fill="E7E6E6"/>
            <w:vAlign w:val="center"/>
            <w:hideMark/>
          </w:tcPr>
          <w:p w14:paraId="3DEF84A3"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t>Total output 1.3 :</w:t>
            </w:r>
          </w:p>
        </w:tc>
      </w:tr>
      <w:tr w:rsidR="00DF5764" w:rsidRPr="00CA1B73" w14:paraId="2FB14B96" w14:textId="77777777" w:rsidTr="00F750ED">
        <w:trPr>
          <w:trHeight w:val="467"/>
        </w:trPr>
        <w:tc>
          <w:tcPr>
            <w:tcW w:w="3251" w:type="dxa"/>
            <w:vMerge w:val="restart"/>
            <w:shd w:val="clear" w:color="auto" w:fill="auto"/>
            <w:vAlign w:val="center"/>
            <w:hideMark/>
          </w:tcPr>
          <w:p w14:paraId="6F255698" w14:textId="77777777" w:rsidR="00DF5764" w:rsidRPr="00CA1B73" w:rsidRDefault="00DF5764" w:rsidP="00DF5764">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u w:val="single"/>
                <w:lang w:eastAsia="fr-FR"/>
              </w:rPr>
              <w:t>Output 1.3 :</w:t>
            </w:r>
            <w:r w:rsidRPr="00CA1B73">
              <w:rPr>
                <w:rFonts w:eastAsia="Times New Roman" w:cs="Arial"/>
                <w:b/>
                <w:bCs/>
                <w:color w:val="000000"/>
                <w:sz w:val="20"/>
                <w:szCs w:val="20"/>
                <w:lang w:eastAsia="fr-FR"/>
              </w:rPr>
              <w:t xml:space="preserve"> Les OSC renforcées accompagnent les </w:t>
            </w:r>
            <w:proofErr w:type="spellStart"/>
            <w:r w:rsidRPr="00CA1B73">
              <w:rPr>
                <w:rFonts w:eastAsia="Times New Roman" w:cs="Arial"/>
                <w:b/>
                <w:bCs/>
                <w:color w:val="000000"/>
                <w:sz w:val="20"/>
                <w:szCs w:val="20"/>
                <w:lang w:eastAsia="fr-FR"/>
              </w:rPr>
              <w:t>AUSPu</w:t>
            </w:r>
            <w:proofErr w:type="spellEnd"/>
            <w:r w:rsidRPr="00CA1B73">
              <w:rPr>
                <w:rFonts w:eastAsia="Times New Roman" w:cs="Arial"/>
                <w:b/>
                <w:bCs/>
                <w:color w:val="000000"/>
                <w:sz w:val="20"/>
                <w:szCs w:val="20"/>
                <w:lang w:eastAsia="fr-FR"/>
              </w:rPr>
              <w:t xml:space="preserve"> et autres organisations de base pour exiger le respect des normes de qualité dans les services publics  </w:t>
            </w:r>
          </w:p>
        </w:tc>
        <w:tc>
          <w:tcPr>
            <w:tcW w:w="6378" w:type="dxa"/>
            <w:shd w:val="clear" w:color="auto" w:fill="auto"/>
            <w:hideMark/>
          </w:tcPr>
          <w:p w14:paraId="06780341" w14:textId="3B2B18CF" w:rsidR="00DF5764" w:rsidRPr="00CA1B73" w:rsidRDefault="00DF5764" w:rsidP="00DF5764">
            <w:pPr>
              <w:keepNext w:val="0"/>
              <w:keepLines w:val="0"/>
              <w:widowControl w:val="0"/>
              <w:spacing w:after="0" w:line="240" w:lineRule="auto"/>
              <w:jc w:val="left"/>
              <w:rPr>
                <w:rFonts w:eastAsia="Times New Roman" w:cs="Arial"/>
                <w:color w:val="000000"/>
                <w:sz w:val="20"/>
                <w:szCs w:val="20"/>
                <w:lang w:eastAsia="fr-FR"/>
              </w:rPr>
            </w:pPr>
            <w:proofErr w:type="spellStart"/>
            <w:r w:rsidRPr="00CA1B73">
              <w:rPr>
                <w:rFonts w:eastAsia="Times New Roman" w:cs="Arial"/>
                <w:color w:val="000000"/>
                <w:sz w:val="20"/>
                <w:szCs w:val="20"/>
                <w:lang w:eastAsia="fr-FR"/>
              </w:rPr>
              <w:t>Ind</w:t>
            </w:r>
            <w:proofErr w:type="spellEnd"/>
            <w:r w:rsidRPr="00CA1B73">
              <w:rPr>
                <w:rFonts w:eastAsia="Times New Roman" w:cs="Arial"/>
                <w:color w:val="000000"/>
                <w:sz w:val="20"/>
                <w:szCs w:val="20"/>
                <w:lang w:eastAsia="fr-FR"/>
              </w:rPr>
              <w:t xml:space="preserve"> 1.3.1 </w:t>
            </w:r>
            <w:r w:rsidRPr="00CA1B73">
              <w:rPr>
                <w:rFonts w:eastAsia="Times New Roman" w:cs="Arial"/>
                <w:color w:val="000000"/>
                <w:sz w:val="20"/>
                <w:szCs w:val="20"/>
                <w:lang w:eastAsia="fr-FR"/>
              </w:rPr>
              <w:t xml:space="preserve">Proportion des autorités locales des lieux d'exécution des projets informées et </w:t>
            </w:r>
            <w:r w:rsidRPr="00CA1B73">
              <w:rPr>
                <w:rFonts w:eastAsia="Times New Roman" w:cs="Arial"/>
                <w:color w:val="000000"/>
                <w:sz w:val="20"/>
                <w:szCs w:val="20"/>
                <w:lang w:eastAsia="fr-FR"/>
              </w:rPr>
              <w:t>sensibilisées</w:t>
            </w:r>
            <w:r w:rsidRPr="00CA1B73">
              <w:rPr>
                <w:rFonts w:eastAsia="Times New Roman" w:cs="Arial"/>
                <w:color w:val="000000"/>
                <w:sz w:val="20"/>
                <w:szCs w:val="20"/>
                <w:lang w:eastAsia="fr-FR"/>
              </w:rPr>
              <w:t xml:space="preserve"> sur les normes de qualités</w:t>
            </w:r>
          </w:p>
        </w:tc>
        <w:tc>
          <w:tcPr>
            <w:tcW w:w="4962" w:type="dxa"/>
            <w:vMerge w:val="restart"/>
            <w:shd w:val="clear" w:color="000000" w:fill="00B050"/>
            <w:vAlign w:val="center"/>
            <w:hideMark/>
          </w:tcPr>
          <w:p w14:paraId="452175CE" w14:textId="5719A6A4" w:rsidR="00DF5764" w:rsidRPr="00CA1B73" w:rsidRDefault="00DF5764" w:rsidP="00DF5764">
            <w:pPr>
              <w:keepNext w:val="0"/>
              <w:keepLines w:val="0"/>
              <w:widowControl w:val="0"/>
              <w:spacing w:after="0" w:line="240" w:lineRule="auto"/>
              <w:jc w:val="left"/>
              <w:rPr>
                <w:rFonts w:eastAsia="Times New Roman" w:cs="Arial"/>
                <w:color w:val="000000"/>
                <w:sz w:val="20"/>
                <w:szCs w:val="20"/>
                <w:lang w:eastAsia="fr-FR"/>
              </w:rPr>
            </w:pPr>
            <w:r w:rsidRPr="00CA1B73">
              <w:rPr>
                <w:rFonts w:eastAsia="Times New Roman" w:cs="Arial"/>
                <w:color w:val="000000"/>
                <w:sz w:val="20"/>
                <w:szCs w:val="20"/>
                <w:lang w:eastAsia="fr-FR"/>
              </w:rPr>
              <w:t>Soutien aux initiatives de redevabilité portées par les OSC (Respect des normes de qualité dans les services publics)</w:t>
            </w:r>
          </w:p>
        </w:tc>
      </w:tr>
      <w:tr w:rsidR="00DF5764" w:rsidRPr="00CA1B73" w14:paraId="52821133" w14:textId="77777777" w:rsidTr="00F750ED">
        <w:trPr>
          <w:trHeight w:val="133"/>
        </w:trPr>
        <w:tc>
          <w:tcPr>
            <w:tcW w:w="3251" w:type="dxa"/>
            <w:vMerge/>
            <w:vAlign w:val="center"/>
            <w:hideMark/>
          </w:tcPr>
          <w:p w14:paraId="3FAD749C" w14:textId="77777777" w:rsidR="00DF5764" w:rsidRPr="00CA1B73" w:rsidRDefault="00DF5764" w:rsidP="00DF5764">
            <w:pPr>
              <w:keepNext w:val="0"/>
              <w:keepLines w:val="0"/>
              <w:widowControl w:val="0"/>
              <w:spacing w:after="0" w:line="240" w:lineRule="auto"/>
              <w:jc w:val="left"/>
              <w:rPr>
                <w:rFonts w:eastAsia="Times New Roman" w:cs="Arial"/>
                <w:b/>
                <w:bCs/>
                <w:color w:val="000000"/>
                <w:sz w:val="20"/>
                <w:szCs w:val="20"/>
                <w:lang w:eastAsia="fr-FR"/>
              </w:rPr>
            </w:pPr>
          </w:p>
        </w:tc>
        <w:tc>
          <w:tcPr>
            <w:tcW w:w="6378" w:type="dxa"/>
            <w:shd w:val="clear" w:color="auto" w:fill="auto"/>
            <w:hideMark/>
          </w:tcPr>
          <w:p w14:paraId="7C5F6A92" w14:textId="78AD9993" w:rsidR="00DF5764" w:rsidRPr="00CA1B73" w:rsidRDefault="00DF5764" w:rsidP="00DF5764">
            <w:pPr>
              <w:keepNext w:val="0"/>
              <w:keepLines w:val="0"/>
              <w:widowControl w:val="0"/>
              <w:spacing w:after="0" w:line="240" w:lineRule="auto"/>
              <w:jc w:val="left"/>
              <w:rPr>
                <w:rFonts w:eastAsia="Times New Roman" w:cs="Arial"/>
                <w:color w:val="000000"/>
                <w:sz w:val="20"/>
                <w:szCs w:val="20"/>
                <w:lang w:eastAsia="fr-FR"/>
              </w:rPr>
            </w:pPr>
            <w:proofErr w:type="spellStart"/>
            <w:r w:rsidRPr="00CA1B73">
              <w:rPr>
                <w:rFonts w:cs="Arial"/>
                <w:sz w:val="20"/>
                <w:szCs w:val="20"/>
              </w:rPr>
              <w:t>Ind</w:t>
            </w:r>
            <w:proofErr w:type="spellEnd"/>
            <w:r w:rsidRPr="00CA1B73">
              <w:rPr>
                <w:rFonts w:cs="Arial"/>
                <w:sz w:val="20"/>
                <w:szCs w:val="20"/>
              </w:rPr>
              <w:t xml:space="preserve"> 1.3.</w:t>
            </w:r>
            <w:r w:rsidRPr="00CA1B73">
              <w:rPr>
                <w:rFonts w:cs="Arial"/>
                <w:sz w:val="20"/>
                <w:szCs w:val="20"/>
              </w:rPr>
              <w:t xml:space="preserve">2 </w:t>
            </w:r>
            <w:r w:rsidRPr="00CA1B73">
              <w:rPr>
                <w:rFonts w:cs="Arial"/>
                <w:sz w:val="20"/>
                <w:szCs w:val="20"/>
              </w:rPr>
              <w:t>Proportion des plaintes en relation avec les normes de qualité traitées</w:t>
            </w:r>
          </w:p>
        </w:tc>
        <w:tc>
          <w:tcPr>
            <w:tcW w:w="4962" w:type="dxa"/>
            <w:vMerge/>
            <w:vAlign w:val="center"/>
            <w:hideMark/>
          </w:tcPr>
          <w:p w14:paraId="73886470" w14:textId="77777777" w:rsidR="00DF5764" w:rsidRPr="00CA1B73" w:rsidRDefault="00DF5764" w:rsidP="00DF5764">
            <w:pPr>
              <w:keepNext w:val="0"/>
              <w:keepLines w:val="0"/>
              <w:widowControl w:val="0"/>
              <w:spacing w:after="0" w:line="240" w:lineRule="auto"/>
              <w:jc w:val="left"/>
              <w:rPr>
                <w:rFonts w:eastAsia="Times New Roman" w:cs="Arial"/>
                <w:color w:val="000000"/>
                <w:sz w:val="20"/>
                <w:szCs w:val="20"/>
                <w:lang w:eastAsia="fr-FR"/>
              </w:rPr>
            </w:pPr>
          </w:p>
        </w:tc>
      </w:tr>
      <w:tr w:rsidR="00DF5764" w:rsidRPr="00CA1B73" w14:paraId="3DF6B38E" w14:textId="77777777" w:rsidTr="00F750ED">
        <w:trPr>
          <w:trHeight w:val="239"/>
        </w:trPr>
        <w:tc>
          <w:tcPr>
            <w:tcW w:w="3251" w:type="dxa"/>
            <w:vMerge/>
            <w:vAlign w:val="center"/>
            <w:hideMark/>
          </w:tcPr>
          <w:p w14:paraId="62DABCBF" w14:textId="77777777" w:rsidR="00DF5764" w:rsidRPr="00CA1B73" w:rsidRDefault="00DF5764" w:rsidP="00DF5764">
            <w:pPr>
              <w:keepNext w:val="0"/>
              <w:keepLines w:val="0"/>
              <w:widowControl w:val="0"/>
              <w:spacing w:after="0" w:line="240" w:lineRule="auto"/>
              <w:jc w:val="left"/>
              <w:rPr>
                <w:rFonts w:eastAsia="Times New Roman" w:cs="Arial"/>
                <w:b/>
                <w:bCs/>
                <w:color w:val="000000"/>
                <w:sz w:val="20"/>
                <w:szCs w:val="20"/>
                <w:lang w:eastAsia="fr-FR"/>
              </w:rPr>
            </w:pPr>
          </w:p>
        </w:tc>
        <w:tc>
          <w:tcPr>
            <w:tcW w:w="6378" w:type="dxa"/>
            <w:shd w:val="clear" w:color="auto" w:fill="auto"/>
            <w:hideMark/>
          </w:tcPr>
          <w:p w14:paraId="7C87E8D0" w14:textId="60E890AC" w:rsidR="00DF5764" w:rsidRPr="00CA1B73" w:rsidRDefault="00DF5764" w:rsidP="00DF5764">
            <w:pPr>
              <w:keepNext w:val="0"/>
              <w:keepLines w:val="0"/>
              <w:widowControl w:val="0"/>
              <w:spacing w:after="0" w:line="240" w:lineRule="auto"/>
              <w:jc w:val="left"/>
              <w:rPr>
                <w:rFonts w:eastAsia="Times New Roman" w:cs="Arial"/>
                <w:color w:val="000000"/>
                <w:sz w:val="20"/>
                <w:szCs w:val="20"/>
                <w:lang w:eastAsia="fr-FR"/>
              </w:rPr>
            </w:pPr>
            <w:proofErr w:type="spellStart"/>
            <w:r w:rsidRPr="00CA1B73">
              <w:rPr>
                <w:rFonts w:cs="Arial"/>
                <w:sz w:val="20"/>
                <w:szCs w:val="20"/>
              </w:rPr>
              <w:t>Ind</w:t>
            </w:r>
            <w:proofErr w:type="spellEnd"/>
            <w:r w:rsidRPr="00CA1B73">
              <w:rPr>
                <w:rFonts w:cs="Arial"/>
                <w:sz w:val="20"/>
                <w:szCs w:val="20"/>
              </w:rPr>
              <w:t xml:space="preserve"> 1.3.</w:t>
            </w:r>
            <w:r w:rsidRPr="00CA1B73">
              <w:rPr>
                <w:rFonts w:cs="Arial"/>
                <w:sz w:val="20"/>
                <w:szCs w:val="20"/>
              </w:rPr>
              <w:t xml:space="preserve">3 </w:t>
            </w:r>
            <w:r w:rsidRPr="00CA1B73">
              <w:rPr>
                <w:rFonts w:cs="Arial"/>
                <w:sz w:val="20"/>
                <w:szCs w:val="20"/>
              </w:rPr>
              <w:t>Nombre de projets financés sur le FOSIR</w:t>
            </w:r>
          </w:p>
        </w:tc>
        <w:tc>
          <w:tcPr>
            <w:tcW w:w="4962" w:type="dxa"/>
            <w:vMerge/>
            <w:vAlign w:val="center"/>
            <w:hideMark/>
          </w:tcPr>
          <w:p w14:paraId="04FB7651" w14:textId="77777777" w:rsidR="00DF5764" w:rsidRPr="00CA1B73" w:rsidRDefault="00DF5764" w:rsidP="00DF5764">
            <w:pPr>
              <w:keepNext w:val="0"/>
              <w:keepLines w:val="0"/>
              <w:widowControl w:val="0"/>
              <w:spacing w:after="0" w:line="240" w:lineRule="auto"/>
              <w:jc w:val="left"/>
              <w:rPr>
                <w:rFonts w:eastAsia="Times New Roman" w:cs="Arial"/>
                <w:color w:val="000000"/>
                <w:sz w:val="20"/>
                <w:szCs w:val="20"/>
                <w:lang w:eastAsia="fr-FR"/>
              </w:rPr>
            </w:pPr>
          </w:p>
        </w:tc>
      </w:tr>
      <w:tr w:rsidR="000F4865" w:rsidRPr="00CA1B73" w14:paraId="5A7CAF36" w14:textId="77777777" w:rsidTr="00C16F62">
        <w:trPr>
          <w:trHeight w:val="300"/>
        </w:trPr>
        <w:tc>
          <w:tcPr>
            <w:tcW w:w="14591" w:type="dxa"/>
            <w:gridSpan w:val="3"/>
            <w:shd w:val="clear" w:color="000000" w:fill="E7E6E6"/>
            <w:vAlign w:val="center"/>
            <w:hideMark/>
          </w:tcPr>
          <w:p w14:paraId="3C5315EB"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t>Total output 1.4 :</w:t>
            </w:r>
          </w:p>
        </w:tc>
      </w:tr>
      <w:tr w:rsidR="000F4865" w:rsidRPr="00CA1B73" w14:paraId="3A97CBA5" w14:textId="77777777" w:rsidTr="00C16F62">
        <w:trPr>
          <w:trHeight w:val="126"/>
        </w:trPr>
        <w:tc>
          <w:tcPr>
            <w:tcW w:w="14591" w:type="dxa"/>
            <w:gridSpan w:val="3"/>
            <w:shd w:val="clear" w:color="000000" w:fill="92D050"/>
            <w:vAlign w:val="center"/>
            <w:hideMark/>
          </w:tcPr>
          <w:p w14:paraId="7C5A9875"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roofErr w:type="spellStart"/>
            <w:r w:rsidRPr="00CA1B73">
              <w:rPr>
                <w:rFonts w:eastAsia="Times New Roman" w:cs="Arial"/>
                <w:b/>
                <w:bCs/>
                <w:color w:val="000000"/>
                <w:sz w:val="20"/>
                <w:szCs w:val="20"/>
                <w:u w:val="single"/>
                <w:lang w:eastAsia="fr-FR"/>
              </w:rPr>
              <w:t>Outcome</w:t>
            </w:r>
            <w:proofErr w:type="spellEnd"/>
            <w:r w:rsidRPr="00CA1B73">
              <w:rPr>
                <w:rFonts w:eastAsia="Times New Roman" w:cs="Arial"/>
                <w:b/>
                <w:bCs/>
                <w:color w:val="000000"/>
                <w:sz w:val="20"/>
                <w:szCs w:val="20"/>
                <w:u w:val="single"/>
                <w:lang w:eastAsia="fr-FR"/>
              </w:rPr>
              <w:t xml:space="preserve"> 2 :</w:t>
            </w:r>
            <w:r w:rsidRPr="00CA1B73">
              <w:rPr>
                <w:rFonts w:eastAsia="Times New Roman" w:cs="Arial"/>
                <w:b/>
                <w:bCs/>
                <w:color w:val="000000"/>
                <w:sz w:val="20"/>
                <w:szCs w:val="20"/>
                <w:lang w:eastAsia="fr-FR"/>
              </w:rPr>
              <w:br/>
            </w:r>
            <w:r w:rsidRPr="00CA1B73">
              <w:rPr>
                <w:rFonts w:eastAsia="Times New Roman" w:cs="Arial"/>
                <w:color w:val="000000"/>
                <w:sz w:val="20"/>
                <w:szCs w:val="20"/>
                <w:lang w:eastAsia="fr-FR"/>
              </w:rPr>
              <w:t>La qualité des services publics offerts aux citoyens s’est améliorée et correspond à la demande</w:t>
            </w:r>
            <w:r w:rsidRPr="00CA1B73">
              <w:rPr>
                <w:rFonts w:eastAsia="Times New Roman" w:cs="Arial"/>
                <w:color w:val="000000"/>
                <w:sz w:val="20"/>
                <w:szCs w:val="20"/>
                <w:lang w:eastAsia="fr-FR"/>
              </w:rPr>
              <w:br/>
            </w:r>
            <w:r w:rsidRPr="00CA1B73">
              <w:rPr>
                <w:rFonts w:eastAsia="Times New Roman" w:cs="Arial"/>
                <w:b/>
                <w:bCs/>
                <w:color w:val="000000"/>
                <w:sz w:val="20"/>
                <w:szCs w:val="20"/>
                <w:u w:val="single"/>
                <w:lang w:eastAsia="fr-FR"/>
              </w:rPr>
              <w:t>Indicateurs</w:t>
            </w:r>
            <w:r w:rsidRPr="00CA1B73">
              <w:rPr>
                <w:rFonts w:eastAsia="Times New Roman" w:cs="Arial"/>
                <w:b/>
                <w:bCs/>
                <w:color w:val="000000"/>
                <w:sz w:val="20"/>
                <w:szCs w:val="20"/>
                <w:u w:val="single"/>
                <w:lang w:eastAsia="fr-FR"/>
              </w:rPr>
              <w:br/>
            </w:r>
            <w:proofErr w:type="spellStart"/>
            <w:r w:rsidRPr="00CA1B73">
              <w:rPr>
                <w:rFonts w:eastAsia="Times New Roman" w:cs="Arial"/>
                <w:b/>
                <w:bCs/>
                <w:color w:val="000000"/>
                <w:sz w:val="20"/>
                <w:szCs w:val="20"/>
                <w:lang w:eastAsia="fr-FR"/>
              </w:rPr>
              <w:t>Ind</w:t>
            </w:r>
            <w:proofErr w:type="spellEnd"/>
            <w:r w:rsidRPr="00CA1B73">
              <w:rPr>
                <w:rFonts w:eastAsia="Times New Roman" w:cs="Arial"/>
                <w:b/>
                <w:bCs/>
                <w:color w:val="000000"/>
                <w:sz w:val="20"/>
                <w:szCs w:val="20"/>
                <w:lang w:eastAsia="fr-FR"/>
              </w:rPr>
              <w:t xml:space="preserve"> 2.1 : </w:t>
            </w:r>
            <w:r w:rsidRPr="00CA1B73">
              <w:rPr>
                <w:rFonts w:eastAsia="Times New Roman" w:cs="Arial"/>
                <w:color w:val="000000"/>
                <w:sz w:val="20"/>
                <w:szCs w:val="20"/>
                <w:lang w:eastAsia="fr-FR"/>
              </w:rPr>
              <w:t xml:space="preserve">Pourcentage de la population répartie par catégorie d’âge et par sexe ayant reconnu que la qualité des services fournis s’est améliorée progressivement </w:t>
            </w:r>
            <w:r w:rsidRPr="00CA1B73">
              <w:rPr>
                <w:rFonts w:eastAsia="Times New Roman" w:cs="Arial"/>
                <w:color w:val="000000"/>
                <w:sz w:val="20"/>
                <w:szCs w:val="20"/>
                <w:lang w:eastAsia="fr-FR"/>
              </w:rPr>
              <w:lastRenderedPageBreak/>
              <w:t>de 2020 à 2023 dans les secteurs prioritaires touchés</w:t>
            </w:r>
            <w:r w:rsidRPr="00CA1B73">
              <w:rPr>
                <w:rFonts w:eastAsia="Times New Roman" w:cs="Arial"/>
                <w:b/>
                <w:bCs/>
                <w:color w:val="000000"/>
                <w:sz w:val="20"/>
                <w:szCs w:val="20"/>
                <w:lang w:eastAsia="fr-FR"/>
              </w:rPr>
              <w:br/>
            </w:r>
            <w:proofErr w:type="spellStart"/>
            <w:r w:rsidRPr="00CA1B73">
              <w:rPr>
                <w:rFonts w:eastAsia="Times New Roman" w:cs="Arial"/>
                <w:b/>
                <w:bCs/>
                <w:color w:val="000000"/>
                <w:sz w:val="20"/>
                <w:szCs w:val="20"/>
                <w:lang w:eastAsia="fr-FR"/>
              </w:rPr>
              <w:t>Ind</w:t>
            </w:r>
            <w:proofErr w:type="spellEnd"/>
            <w:r w:rsidRPr="00CA1B73">
              <w:rPr>
                <w:rFonts w:eastAsia="Times New Roman" w:cs="Arial"/>
                <w:b/>
                <w:bCs/>
                <w:color w:val="000000"/>
                <w:sz w:val="20"/>
                <w:szCs w:val="20"/>
                <w:lang w:eastAsia="fr-FR"/>
              </w:rPr>
              <w:t xml:space="preserve"> 2.2 : </w:t>
            </w:r>
            <w:r w:rsidRPr="00CA1B73">
              <w:rPr>
                <w:rFonts w:eastAsia="Times New Roman" w:cs="Arial"/>
                <w:color w:val="000000"/>
                <w:sz w:val="20"/>
                <w:szCs w:val="20"/>
                <w:lang w:eastAsia="fr-FR"/>
              </w:rPr>
              <w:t>Nombre de ministères sectoriels ayant adopté et mis en application les normes en matière de qualité et redevabilité aux niveaux local, et national</w:t>
            </w:r>
            <w:r w:rsidRPr="00CA1B73">
              <w:rPr>
                <w:rFonts w:eastAsia="Times New Roman" w:cs="Arial"/>
                <w:color w:val="000000"/>
                <w:sz w:val="20"/>
                <w:szCs w:val="20"/>
                <w:lang w:eastAsia="fr-FR"/>
              </w:rPr>
              <w:br/>
            </w:r>
            <w:proofErr w:type="spellStart"/>
            <w:r w:rsidRPr="00CA1B73">
              <w:rPr>
                <w:rFonts w:eastAsia="Times New Roman" w:cs="Arial"/>
                <w:b/>
                <w:bCs/>
                <w:color w:val="000000"/>
                <w:sz w:val="20"/>
                <w:szCs w:val="20"/>
                <w:lang w:eastAsia="fr-FR"/>
              </w:rPr>
              <w:t>Ind</w:t>
            </w:r>
            <w:proofErr w:type="spellEnd"/>
            <w:r w:rsidRPr="00CA1B73">
              <w:rPr>
                <w:rFonts w:eastAsia="Times New Roman" w:cs="Arial"/>
                <w:b/>
                <w:bCs/>
                <w:color w:val="000000"/>
                <w:sz w:val="20"/>
                <w:szCs w:val="20"/>
                <w:lang w:eastAsia="fr-FR"/>
              </w:rPr>
              <w:t xml:space="preserve"> 2.3 :</w:t>
            </w:r>
            <w:r w:rsidRPr="00CA1B73">
              <w:rPr>
                <w:rFonts w:eastAsia="Times New Roman" w:cs="Arial"/>
                <w:color w:val="000000"/>
                <w:sz w:val="20"/>
                <w:szCs w:val="20"/>
                <w:lang w:eastAsia="fr-FR"/>
              </w:rPr>
              <w:t xml:space="preserve"> Réduction du nombre de plaintes relatives à la qualité des services publics par secteur</w:t>
            </w:r>
          </w:p>
        </w:tc>
      </w:tr>
      <w:tr w:rsidR="000F4865" w:rsidRPr="00CA1B73" w14:paraId="1476BFE6" w14:textId="77777777" w:rsidTr="00C16F62">
        <w:trPr>
          <w:trHeight w:val="300"/>
        </w:trPr>
        <w:tc>
          <w:tcPr>
            <w:tcW w:w="14591" w:type="dxa"/>
            <w:gridSpan w:val="3"/>
            <w:shd w:val="clear" w:color="000000" w:fill="E7E6E6"/>
            <w:vAlign w:val="center"/>
            <w:hideMark/>
          </w:tcPr>
          <w:p w14:paraId="6C6C5E9E"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lastRenderedPageBreak/>
              <w:t>Total output 2.1 :</w:t>
            </w:r>
          </w:p>
        </w:tc>
      </w:tr>
      <w:tr w:rsidR="000F4865" w:rsidRPr="00CA1B73" w14:paraId="057CC362" w14:textId="77777777" w:rsidTr="00CA1B73">
        <w:trPr>
          <w:trHeight w:val="799"/>
        </w:trPr>
        <w:tc>
          <w:tcPr>
            <w:tcW w:w="3251" w:type="dxa"/>
            <w:shd w:val="clear" w:color="auto" w:fill="auto"/>
            <w:vAlign w:val="center"/>
            <w:hideMark/>
          </w:tcPr>
          <w:p w14:paraId="2AAC8EA2"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t>Output 2.1 : Les responsables des institutions étatiques se sont approprié les notions sur la redevabilité et ses mécanismes de mise en œuvre</w:t>
            </w:r>
          </w:p>
        </w:tc>
        <w:tc>
          <w:tcPr>
            <w:tcW w:w="6378" w:type="dxa"/>
            <w:shd w:val="clear" w:color="auto" w:fill="auto"/>
            <w:vAlign w:val="center"/>
            <w:hideMark/>
          </w:tcPr>
          <w:p w14:paraId="38E8998B" w14:textId="36C2DE17" w:rsidR="000F4865" w:rsidRPr="00CA1B73" w:rsidRDefault="000F4865" w:rsidP="00C16F62">
            <w:pPr>
              <w:keepNext w:val="0"/>
              <w:keepLines w:val="0"/>
              <w:widowControl w:val="0"/>
              <w:spacing w:after="0" w:line="240" w:lineRule="auto"/>
              <w:jc w:val="left"/>
              <w:rPr>
                <w:rFonts w:cs="Arial"/>
                <w:sz w:val="20"/>
                <w:szCs w:val="20"/>
              </w:rPr>
            </w:pPr>
            <w:proofErr w:type="spellStart"/>
            <w:r w:rsidRPr="00CA1B73">
              <w:rPr>
                <w:rFonts w:cs="Arial"/>
                <w:sz w:val="20"/>
                <w:szCs w:val="20"/>
              </w:rPr>
              <w:t>Ind</w:t>
            </w:r>
            <w:proofErr w:type="spellEnd"/>
            <w:r w:rsidRPr="00CA1B73">
              <w:rPr>
                <w:rFonts w:cs="Arial"/>
                <w:sz w:val="20"/>
                <w:szCs w:val="20"/>
              </w:rPr>
              <w:t xml:space="preserve"> 2.1.2 </w:t>
            </w:r>
            <w:r w:rsidR="00DF5764" w:rsidRPr="00CA1B73">
              <w:rPr>
                <w:rFonts w:cs="Arial"/>
                <w:sz w:val="20"/>
                <w:szCs w:val="20"/>
              </w:rPr>
              <w:t>Nombre de documents d'informations du citoyen par rapport à la gestion des finances publiques au niveau des ministères sectoriels et des collectivités locales accessibles</w:t>
            </w:r>
          </w:p>
        </w:tc>
        <w:tc>
          <w:tcPr>
            <w:tcW w:w="4962" w:type="dxa"/>
            <w:shd w:val="clear" w:color="000000" w:fill="00B050"/>
            <w:vAlign w:val="center"/>
            <w:hideMark/>
          </w:tcPr>
          <w:p w14:paraId="4E574848" w14:textId="282C6729" w:rsidR="000F4865" w:rsidRPr="00CA1B73" w:rsidRDefault="000F4865" w:rsidP="00C16F62">
            <w:pPr>
              <w:keepNext w:val="0"/>
              <w:keepLines w:val="0"/>
              <w:widowControl w:val="0"/>
              <w:spacing w:after="0" w:line="240" w:lineRule="auto"/>
              <w:jc w:val="left"/>
              <w:rPr>
                <w:rFonts w:eastAsia="Times New Roman" w:cs="Arial"/>
                <w:color w:val="000000"/>
                <w:sz w:val="20"/>
                <w:szCs w:val="20"/>
                <w:lang w:eastAsia="fr-FR"/>
              </w:rPr>
            </w:pPr>
            <w:r w:rsidRPr="00CA1B73">
              <w:rPr>
                <w:rFonts w:eastAsia="Times New Roman" w:cs="Arial"/>
                <w:color w:val="000000"/>
                <w:sz w:val="20"/>
                <w:szCs w:val="20"/>
                <w:lang w:eastAsia="fr-FR"/>
              </w:rPr>
              <w:t xml:space="preserve">Soutien aux </w:t>
            </w:r>
            <w:r w:rsidR="00277D86" w:rsidRPr="00CA1B73">
              <w:rPr>
                <w:rFonts w:eastAsia="Times New Roman" w:cs="Arial"/>
                <w:color w:val="000000"/>
                <w:sz w:val="20"/>
                <w:szCs w:val="20"/>
                <w:lang w:eastAsia="fr-FR"/>
              </w:rPr>
              <w:t>initiatives</w:t>
            </w:r>
            <w:r w:rsidRPr="00CA1B73">
              <w:rPr>
                <w:rFonts w:eastAsia="Times New Roman" w:cs="Arial"/>
                <w:color w:val="000000"/>
                <w:sz w:val="20"/>
                <w:szCs w:val="20"/>
                <w:lang w:eastAsia="fr-FR"/>
              </w:rPr>
              <w:t xml:space="preserve"> de redevabilité portées par les OSC (projets innovants)</w:t>
            </w:r>
          </w:p>
        </w:tc>
      </w:tr>
      <w:tr w:rsidR="000F4865" w:rsidRPr="00CA1B73" w14:paraId="3E69B386" w14:textId="77777777" w:rsidTr="00C16F62">
        <w:trPr>
          <w:trHeight w:val="467"/>
        </w:trPr>
        <w:tc>
          <w:tcPr>
            <w:tcW w:w="3251" w:type="dxa"/>
            <w:vMerge w:val="restart"/>
            <w:shd w:val="clear" w:color="auto" w:fill="auto"/>
            <w:vAlign w:val="center"/>
            <w:hideMark/>
          </w:tcPr>
          <w:p w14:paraId="1E60362F"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u w:val="single"/>
                <w:lang w:eastAsia="fr-FR"/>
              </w:rPr>
              <w:t>Output 2.3 :</w:t>
            </w:r>
            <w:r w:rsidRPr="00CA1B73">
              <w:rPr>
                <w:rFonts w:eastAsia="Times New Roman" w:cs="Arial"/>
                <w:b/>
                <w:bCs/>
                <w:color w:val="000000"/>
                <w:sz w:val="20"/>
                <w:szCs w:val="20"/>
                <w:lang w:eastAsia="fr-FR"/>
              </w:rPr>
              <w:t xml:space="preserve"> Des espaces de dialogue et de contrôle citoyen de l’action publique sont animés pour évaluer la qualité des services publics fournis</w:t>
            </w:r>
          </w:p>
        </w:tc>
        <w:tc>
          <w:tcPr>
            <w:tcW w:w="6378" w:type="dxa"/>
            <w:shd w:val="clear" w:color="auto" w:fill="auto"/>
            <w:vAlign w:val="center"/>
            <w:hideMark/>
          </w:tcPr>
          <w:p w14:paraId="6C0B69A9" w14:textId="77777777" w:rsidR="000F4865" w:rsidRPr="00CA1B73" w:rsidRDefault="000F4865" w:rsidP="00C16F62">
            <w:pPr>
              <w:keepNext w:val="0"/>
              <w:keepLines w:val="0"/>
              <w:widowControl w:val="0"/>
              <w:spacing w:after="0" w:line="240" w:lineRule="auto"/>
              <w:jc w:val="left"/>
              <w:rPr>
                <w:rFonts w:cs="Arial"/>
                <w:sz w:val="20"/>
                <w:szCs w:val="20"/>
              </w:rPr>
            </w:pPr>
            <w:proofErr w:type="spellStart"/>
            <w:r w:rsidRPr="00CA1B73">
              <w:rPr>
                <w:rFonts w:cs="Arial"/>
                <w:sz w:val="20"/>
                <w:szCs w:val="20"/>
              </w:rPr>
              <w:t>Ind</w:t>
            </w:r>
            <w:proofErr w:type="spellEnd"/>
            <w:r w:rsidRPr="00CA1B73">
              <w:rPr>
                <w:rFonts w:cs="Arial"/>
                <w:sz w:val="20"/>
                <w:szCs w:val="20"/>
              </w:rPr>
              <w:t xml:space="preserve"> 2.3.1 : Proportion des détenteurs de droit renforcés qui utilisent les outils appropriés d'évaluation de la qualité des services publics</w:t>
            </w:r>
          </w:p>
        </w:tc>
        <w:tc>
          <w:tcPr>
            <w:tcW w:w="4962" w:type="dxa"/>
            <w:shd w:val="clear" w:color="000000" w:fill="00B050"/>
            <w:vAlign w:val="center"/>
            <w:hideMark/>
          </w:tcPr>
          <w:p w14:paraId="0CE16844" w14:textId="536E6B04" w:rsidR="000F4865" w:rsidRPr="00CA1B73" w:rsidRDefault="000F4865" w:rsidP="00C16F62">
            <w:pPr>
              <w:keepNext w:val="0"/>
              <w:keepLines w:val="0"/>
              <w:widowControl w:val="0"/>
              <w:spacing w:after="0" w:line="240" w:lineRule="auto"/>
              <w:jc w:val="left"/>
              <w:rPr>
                <w:rFonts w:eastAsia="Times New Roman" w:cs="Arial"/>
                <w:color w:val="000000"/>
                <w:sz w:val="20"/>
                <w:szCs w:val="20"/>
                <w:lang w:eastAsia="fr-FR"/>
              </w:rPr>
            </w:pPr>
            <w:r w:rsidRPr="00CA1B73">
              <w:rPr>
                <w:rFonts w:eastAsia="Times New Roman" w:cs="Arial"/>
                <w:color w:val="000000"/>
                <w:sz w:val="20"/>
                <w:szCs w:val="20"/>
                <w:lang w:eastAsia="fr-FR"/>
              </w:rPr>
              <w:t xml:space="preserve">Soutien aux </w:t>
            </w:r>
            <w:r w:rsidR="00277D86" w:rsidRPr="00CA1B73">
              <w:rPr>
                <w:rFonts w:eastAsia="Times New Roman" w:cs="Arial"/>
                <w:color w:val="000000"/>
                <w:sz w:val="20"/>
                <w:szCs w:val="20"/>
                <w:lang w:eastAsia="fr-FR"/>
              </w:rPr>
              <w:t>initiatives</w:t>
            </w:r>
            <w:r w:rsidRPr="00CA1B73">
              <w:rPr>
                <w:rFonts w:eastAsia="Times New Roman" w:cs="Arial"/>
                <w:color w:val="000000"/>
                <w:sz w:val="20"/>
                <w:szCs w:val="20"/>
                <w:lang w:eastAsia="fr-FR"/>
              </w:rPr>
              <w:t xml:space="preserve"> de redevabilité portées par les OSC </w:t>
            </w:r>
          </w:p>
        </w:tc>
      </w:tr>
      <w:tr w:rsidR="000F4865" w:rsidRPr="00CA1B73" w14:paraId="0F35B45D" w14:textId="77777777" w:rsidTr="00C16F62">
        <w:trPr>
          <w:trHeight w:val="765"/>
        </w:trPr>
        <w:tc>
          <w:tcPr>
            <w:tcW w:w="3251" w:type="dxa"/>
            <w:vMerge/>
            <w:vAlign w:val="center"/>
            <w:hideMark/>
          </w:tcPr>
          <w:p w14:paraId="7818E5B5"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
        </w:tc>
        <w:tc>
          <w:tcPr>
            <w:tcW w:w="6378" w:type="dxa"/>
            <w:shd w:val="clear" w:color="auto" w:fill="auto"/>
            <w:vAlign w:val="center"/>
            <w:hideMark/>
          </w:tcPr>
          <w:p w14:paraId="6E313C46" w14:textId="77777777" w:rsidR="000F4865" w:rsidRPr="00CA1B73" w:rsidRDefault="000F4865" w:rsidP="00C16F62">
            <w:pPr>
              <w:keepNext w:val="0"/>
              <w:keepLines w:val="0"/>
              <w:widowControl w:val="0"/>
              <w:spacing w:after="0" w:line="240" w:lineRule="auto"/>
              <w:jc w:val="left"/>
              <w:rPr>
                <w:rFonts w:cs="Arial"/>
                <w:sz w:val="20"/>
                <w:szCs w:val="20"/>
              </w:rPr>
            </w:pPr>
            <w:proofErr w:type="spellStart"/>
            <w:r w:rsidRPr="00CA1B73">
              <w:rPr>
                <w:rFonts w:cs="Arial"/>
                <w:sz w:val="20"/>
                <w:szCs w:val="20"/>
              </w:rPr>
              <w:t>Ind</w:t>
            </w:r>
            <w:proofErr w:type="spellEnd"/>
            <w:r w:rsidRPr="00CA1B73">
              <w:rPr>
                <w:rFonts w:cs="Arial"/>
                <w:sz w:val="20"/>
                <w:szCs w:val="20"/>
              </w:rPr>
              <w:t xml:space="preserve"> 2.3.2 : Nombre de séance d’évaluation citoyenne des performances communales organisée par an </w:t>
            </w:r>
          </w:p>
        </w:tc>
        <w:tc>
          <w:tcPr>
            <w:tcW w:w="4962" w:type="dxa"/>
            <w:shd w:val="clear" w:color="000000" w:fill="00B050"/>
            <w:vAlign w:val="center"/>
            <w:hideMark/>
          </w:tcPr>
          <w:p w14:paraId="71E23C71" w14:textId="680E6903" w:rsidR="000F4865" w:rsidRPr="00CA1B73" w:rsidRDefault="000F4865" w:rsidP="00C16F62">
            <w:pPr>
              <w:keepNext w:val="0"/>
              <w:keepLines w:val="0"/>
              <w:widowControl w:val="0"/>
              <w:spacing w:after="0" w:line="240" w:lineRule="auto"/>
              <w:jc w:val="left"/>
              <w:rPr>
                <w:rFonts w:eastAsia="Times New Roman" w:cs="Arial"/>
                <w:color w:val="000000"/>
                <w:sz w:val="20"/>
                <w:szCs w:val="20"/>
                <w:lang w:eastAsia="fr-FR"/>
              </w:rPr>
            </w:pPr>
            <w:r w:rsidRPr="00CA1B73">
              <w:rPr>
                <w:rFonts w:eastAsia="Times New Roman" w:cs="Arial"/>
                <w:color w:val="000000"/>
                <w:sz w:val="20"/>
                <w:szCs w:val="20"/>
                <w:lang w:eastAsia="fr-FR"/>
              </w:rPr>
              <w:t xml:space="preserve">Soutien aux </w:t>
            </w:r>
            <w:r w:rsidR="00277D86" w:rsidRPr="00CA1B73">
              <w:rPr>
                <w:rFonts w:eastAsia="Times New Roman" w:cs="Arial"/>
                <w:color w:val="000000"/>
                <w:sz w:val="20"/>
                <w:szCs w:val="20"/>
                <w:lang w:eastAsia="fr-FR"/>
              </w:rPr>
              <w:t>initiatives</w:t>
            </w:r>
            <w:r w:rsidRPr="00CA1B73">
              <w:rPr>
                <w:rFonts w:eastAsia="Times New Roman" w:cs="Arial"/>
                <w:color w:val="000000"/>
                <w:sz w:val="20"/>
                <w:szCs w:val="20"/>
                <w:lang w:eastAsia="fr-FR"/>
              </w:rPr>
              <w:t xml:space="preserve"> de redevabilité portées par les OSC (Organisation de séances d'évaluation </w:t>
            </w:r>
            <w:r w:rsidR="00C462F7" w:rsidRPr="00CA1B73">
              <w:rPr>
                <w:rFonts w:eastAsia="Times New Roman" w:cs="Arial"/>
                <w:color w:val="000000"/>
                <w:sz w:val="20"/>
                <w:szCs w:val="20"/>
                <w:lang w:eastAsia="fr-FR"/>
              </w:rPr>
              <w:t>citoyennes</w:t>
            </w:r>
            <w:r w:rsidRPr="00CA1B73">
              <w:rPr>
                <w:rFonts w:eastAsia="Times New Roman" w:cs="Arial"/>
                <w:color w:val="000000"/>
                <w:sz w:val="20"/>
                <w:szCs w:val="20"/>
                <w:lang w:eastAsia="fr-FR"/>
              </w:rPr>
              <w:t xml:space="preserve"> de la qualité des services publics)</w:t>
            </w:r>
          </w:p>
        </w:tc>
      </w:tr>
      <w:tr w:rsidR="000F4865" w:rsidRPr="00CA1B73" w14:paraId="6BA84004" w14:textId="77777777" w:rsidTr="00CA1B73">
        <w:trPr>
          <w:trHeight w:val="382"/>
        </w:trPr>
        <w:tc>
          <w:tcPr>
            <w:tcW w:w="3251" w:type="dxa"/>
            <w:vMerge/>
            <w:vAlign w:val="center"/>
            <w:hideMark/>
          </w:tcPr>
          <w:p w14:paraId="1A550A43"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
        </w:tc>
        <w:tc>
          <w:tcPr>
            <w:tcW w:w="6378" w:type="dxa"/>
            <w:shd w:val="clear" w:color="auto" w:fill="auto"/>
            <w:vAlign w:val="center"/>
            <w:hideMark/>
          </w:tcPr>
          <w:p w14:paraId="4B7761D7" w14:textId="45126F6F" w:rsidR="000F4865" w:rsidRPr="00CA1B73" w:rsidRDefault="000F4865" w:rsidP="00C16F62">
            <w:pPr>
              <w:keepNext w:val="0"/>
              <w:keepLines w:val="0"/>
              <w:widowControl w:val="0"/>
              <w:spacing w:after="0" w:line="240" w:lineRule="auto"/>
              <w:jc w:val="left"/>
              <w:rPr>
                <w:rFonts w:cs="Arial"/>
                <w:sz w:val="20"/>
                <w:szCs w:val="20"/>
              </w:rPr>
            </w:pPr>
            <w:proofErr w:type="spellStart"/>
            <w:r w:rsidRPr="00CA1B73">
              <w:rPr>
                <w:rFonts w:cs="Arial"/>
                <w:sz w:val="20"/>
                <w:szCs w:val="20"/>
              </w:rPr>
              <w:t>Ind</w:t>
            </w:r>
            <w:proofErr w:type="spellEnd"/>
            <w:r w:rsidRPr="00CA1B73">
              <w:rPr>
                <w:rFonts w:cs="Arial"/>
                <w:sz w:val="20"/>
                <w:szCs w:val="20"/>
              </w:rPr>
              <w:t xml:space="preserve"> 2.3.3 : </w:t>
            </w:r>
            <w:r w:rsidR="00CA1B73" w:rsidRPr="00CA1B73">
              <w:rPr>
                <w:rFonts w:cs="Arial"/>
                <w:sz w:val="20"/>
                <w:szCs w:val="20"/>
              </w:rPr>
              <w:t>Taux de mise en œuvre des recommandations issues des évaluations citoyennes des performances communales</w:t>
            </w:r>
          </w:p>
        </w:tc>
        <w:tc>
          <w:tcPr>
            <w:tcW w:w="4962" w:type="dxa"/>
            <w:vMerge w:val="restart"/>
            <w:shd w:val="clear" w:color="000000" w:fill="00B050"/>
            <w:vAlign w:val="center"/>
            <w:hideMark/>
          </w:tcPr>
          <w:p w14:paraId="3DF1431B" w14:textId="77777777" w:rsidR="000F4865" w:rsidRPr="00CA1B73" w:rsidRDefault="000F4865" w:rsidP="00C16F62">
            <w:pPr>
              <w:keepNext w:val="0"/>
              <w:keepLines w:val="0"/>
              <w:widowControl w:val="0"/>
              <w:spacing w:after="0" w:line="240" w:lineRule="auto"/>
              <w:jc w:val="left"/>
              <w:rPr>
                <w:rFonts w:eastAsia="Times New Roman" w:cs="Arial"/>
                <w:color w:val="000000"/>
                <w:sz w:val="20"/>
                <w:szCs w:val="20"/>
                <w:lang w:eastAsia="fr-FR"/>
              </w:rPr>
            </w:pPr>
            <w:r w:rsidRPr="00CA1B73">
              <w:rPr>
                <w:rFonts w:eastAsia="Times New Roman" w:cs="Arial"/>
                <w:color w:val="000000"/>
                <w:sz w:val="20"/>
                <w:szCs w:val="20"/>
                <w:lang w:eastAsia="fr-FR"/>
              </w:rPr>
              <w:t>Soutien aux initiatives de redevabilité portée par les OSC (suivi des recommandations issues des évaluations citoyennes)</w:t>
            </w:r>
          </w:p>
        </w:tc>
      </w:tr>
      <w:tr w:rsidR="000F4865" w:rsidRPr="00CA1B73" w14:paraId="4560E1DE" w14:textId="77777777" w:rsidTr="00C16F62">
        <w:trPr>
          <w:trHeight w:val="510"/>
        </w:trPr>
        <w:tc>
          <w:tcPr>
            <w:tcW w:w="3251" w:type="dxa"/>
            <w:vMerge/>
            <w:vAlign w:val="center"/>
            <w:hideMark/>
          </w:tcPr>
          <w:p w14:paraId="30ACD828"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
        </w:tc>
        <w:tc>
          <w:tcPr>
            <w:tcW w:w="6378" w:type="dxa"/>
            <w:shd w:val="clear" w:color="auto" w:fill="auto"/>
            <w:vAlign w:val="center"/>
            <w:hideMark/>
          </w:tcPr>
          <w:p w14:paraId="71ED565D" w14:textId="5EB704DC" w:rsidR="000F4865" w:rsidRPr="00CA1B73" w:rsidRDefault="000F4865" w:rsidP="00C16F62">
            <w:pPr>
              <w:keepNext w:val="0"/>
              <w:keepLines w:val="0"/>
              <w:widowControl w:val="0"/>
              <w:spacing w:after="0" w:line="240" w:lineRule="auto"/>
              <w:jc w:val="left"/>
              <w:rPr>
                <w:rFonts w:cs="Arial"/>
                <w:sz w:val="20"/>
                <w:szCs w:val="20"/>
              </w:rPr>
            </w:pPr>
            <w:proofErr w:type="spellStart"/>
            <w:r w:rsidRPr="00CA1B73">
              <w:rPr>
                <w:rFonts w:cs="Arial"/>
                <w:sz w:val="20"/>
                <w:szCs w:val="20"/>
              </w:rPr>
              <w:t>Ind</w:t>
            </w:r>
            <w:proofErr w:type="spellEnd"/>
            <w:r w:rsidRPr="00CA1B73">
              <w:rPr>
                <w:rFonts w:cs="Arial"/>
                <w:sz w:val="20"/>
                <w:szCs w:val="20"/>
              </w:rPr>
              <w:t xml:space="preserve"> 2.3.4 : </w:t>
            </w:r>
            <w:r w:rsidR="00CA1B73" w:rsidRPr="00CA1B73">
              <w:rPr>
                <w:rFonts w:cs="Arial"/>
                <w:sz w:val="20"/>
                <w:szCs w:val="20"/>
              </w:rPr>
              <w:t xml:space="preserve">Nombre de productions médiatiques sur </w:t>
            </w:r>
            <w:r w:rsidR="00CA1B73" w:rsidRPr="00CA1B73">
              <w:rPr>
                <w:rFonts w:cs="Arial"/>
                <w:sz w:val="20"/>
                <w:szCs w:val="20"/>
              </w:rPr>
              <w:t>les résultats</w:t>
            </w:r>
            <w:r w:rsidR="00CA1B73" w:rsidRPr="00CA1B73">
              <w:rPr>
                <w:rFonts w:cs="Arial"/>
                <w:sz w:val="20"/>
                <w:szCs w:val="20"/>
              </w:rPr>
              <w:t xml:space="preserve"> des sessions de reddition de comptes</w:t>
            </w:r>
          </w:p>
        </w:tc>
        <w:tc>
          <w:tcPr>
            <w:tcW w:w="4962" w:type="dxa"/>
            <w:vMerge/>
            <w:vAlign w:val="center"/>
            <w:hideMark/>
          </w:tcPr>
          <w:p w14:paraId="391713D7" w14:textId="77777777" w:rsidR="000F4865" w:rsidRPr="00CA1B73" w:rsidRDefault="000F4865" w:rsidP="00C16F62">
            <w:pPr>
              <w:keepNext w:val="0"/>
              <w:keepLines w:val="0"/>
              <w:widowControl w:val="0"/>
              <w:spacing w:after="0" w:line="240" w:lineRule="auto"/>
              <w:jc w:val="left"/>
              <w:rPr>
                <w:rFonts w:eastAsia="Times New Roman" w:cs="Arial"/>
                <w:color w:val="000000"/>
                <w:sz w:val="20"/>
                <w:szCs w:val="20"/>
                <w:lang w:eastAsia="fr-FR"/>
              </w:rPr>
            </w:pPr>
          </w:p>
        </w:tc>
      </w:tr>
      <w:tr w:rsidR="000F4865" w:rsidRPr="00CA1B73" w14:paraId="3099468F" w14:textId="77777777" w:rsidTr="00C16F62">
        <w:trPr>
          <w:trHeight w:val="1289"/>
        </w:trPr>
        <w:tc>
          <w:tcPr>
            <w:tcW w:w="14591" w:type="dxa"/>
            <w:gridSpan w:val="3"/>
            <w:shd w:val="clear" w:color="000000" w:fill="92D050"/>
            <w:vAlign w:val="center"/>
            <w:hideMark/>
          </w:tcPr>
          <w:p w14:paraId="30C5D56B"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roofErr w:type="spellStart"/>
            <w:r w:rsidRPr="00CA1B73">
              <w:rPr>
                <w:rFonts w:eastAsia="Times New Roman" w:cs="Arial"/>
                <w:b/>
                <w:bCs/>
                <w:color w:val="000000"/>
                <w:sz w:val="20"/>
                <w:szCs w:val="20"/>
                <w:u w:val="single"/>
                <w:lang w:eastAsia="fr-FR"/>
              </w:rPr>
              <w:t>Outcome</w:t>
            </w:r>
            <w:proofErr w:type="spellEnd"/>
            <w:r w:rsidRPr="00CA1B73">
              <w:rPr>
                <w:rFonts w:eastAsia="Times New Roman" w:cs="Arial"/>
                <w:b/>
                <w:bCs/>
                <w:color w:val="000000"/>
                <w:sz w:val="20"/>
                <w:szCs w:val="20"/>
                <w:u w:val="single"/>
                <w:lang w:eastAsia="fr-FR"/>
              </w:rPr>
              <w:t xml:space="preserve"> 3 :</w:t>
            </w:r>
            <w:r w:rsidRPr="00CA1B73">
              <w:rPr>
                <w:rFonts w:eastAsia="Times New Roman" w:cs="Arial"/>
                <w:b/>
                <w:bCs/>
                <w:color w:val="000000"/>
                <w:sz w:val="20"/>
                <w:szCs w:val="20"/>
                <w:u w:val="single"/>
                <w:lang w:eastAsia="fr-FR"/>
              </w:rPr>
              <w:br/>
            </w:r>
            <w:r w:rsidRPr="00CA1B73">
              <w:rPr>
                <w:rFonts w:eastAsia="Times New Roman" w:cs="Arial"/>
                <w:b/>
                <w:bCs/>
                <w:color w:val="000000"/>
                <w:sz w:val="20"/>
                <w:szCs w:val="20"/>
                <w:lang w:eastAsia="fr-FR"/>
              </w:rPr>
              <w:t xml:space="preserve"> </w:t>
            </w:r>
            <w:r w:rsidRPr="00CA1B73">
              <w:rPr>
                <w:rFonts w:eastAsia="Times New Roman" w:cs="Arial"/>
                <w:color w:val="000000"/>
                <w:sz w:val="20"/>
                <w:szCs w:val="20"/>
                <w:lang w:eastAsia="fr-FR"/>
              </w:rPr>
              <w:t>La redevabilité sociale, financière et électorale a progressé à travers le renforcement des institutions de régulation et de contrôle</w:t>
            </w:r>
            <w:r w:rsidRPr="00CA1B73">
              <w:rPr>
                <w:rFonts w:eastAsia="Times New Roman" w:cs="Arial"/>
                <w:color w:val="000000"/>
                <w:sz w:val="20"/>
                <w:szCs w:val="20"/>
                <w:lang w:eastAsia="fr-FR"/>
              </w:rPr>
              <w:br/>
            </w:r>
            <w:r w:rsidRPr="00CA1B73">
              <w:rPr>
                <w:rFonts w:eastAsia="Times New Roman" w:cs="Arial"/>
                <w:b/>
                <w:bCs/>
                <w:color w:val="000000"/>
                <w:sz w:val="20"/>
                <w:szCs w:val="20"/>
                <w:u w:val="single"/>
                <w:lang w:eastAsia="fr-FR"/>
              </w:rPr>
              <w:t>Indicateurs :</w:t>
            </w:r>
            <w:r w:rsidRPr="00CA1B73">
              <w:rPr>
                <w:rFonts w:eastAsia="Times New Roman" w:cs="Arial"/>
                <w:b/>
                <w:bCs/>
                <w:color w:val="000000"/>
                <w:sz w:val="20"/>
                <w:szCs w:val="20"/>
                <w:u w:val="single"/>
                <w:lang w:eastAsia="fr-FR"/>
              </w:rPr>
              <w:br/>
            </w:r>
            <w:proofErr w:type="spellStart"/>
            <w:r w:rsidRPr="00CA1B73">
              <w:rPr>
                <w:rFonts w:eastAsia="Times New Roman" w:cs="Arial"/>
                <w:b/>
                <w:bCs/>
                <w:color w:val="000000"/>
                <w:sz w:val="20"/>
                <w:szCs w:val="20"/>
                <w:lang w:eastAsia="fr-FR"/>
              </w:rPr>
              <w:t>Ind</w:t>
            </w:r>
            <w:proofErr w:type="spellEnd"/>
            <w:r w:rsidRPr="00CA1B73">
              <w:rPr>
                <w:rFonts w:eastAsia="Times New Roman" w:cs="Arial"/>
                <w:b/>
                <w:bCs/>
                <w:color w:val="000000"/>
                <w:sz w:val="20"/>
                <w:szCs w:val="20"/>
                <w:lang w:eastAsia="fr-FR"/>
              </w:rPr>
              <w:t xml:space="preserve"> 3.1 : </w:t>
            </w:r>
            <w:r w:rsidRPr="00CA1B73">
              <w:rPr>
                <w:rFonts w:eastAsia="Times New Roman" w:cs="Arial"/>
                <w:color w:val="000000"/>
                <w:sz w:val="20"/>
                <w:szCs w:val="20"/>
                <w:lang w:eastAsia="fr-FR"/>
              </w:rPr>
              <w:t>Amélioration de la gouvernance des structures contrôlées par les institutions</w:t>
            </w:r>
            <w:r w:rsidRPr="00CA1B73">
              <w:rPr>
                <w:rFonts w:eastAsia="Times New Roman" w:cs="Arial"/>
                <w:color w:val="000000"/>
                <w:sz w:val="20"/>
                <w:szCs w:val="20"/>
                <w:lang w:eastAsia="fr-FR"/>
              </w:rPr>
              <w:br/>
            </w:r>
            <w:proofErr w:type="spellStart"/>
            <w:r w:rsidRPr="00CA1B73">
              <w:rPr>
                <w:rFonts w:eastAsia="Times New Roman" w:cs="Arial"/>
                <w:b/>
                <w:bCs/>
                <w:color w:val="000000"/>
                <w:sz w:val="20"/>
                <w:szCs w:val="20"/>
                <w:lang w:eastAsia="fr-FR"/>
              </w:rPr>
              <w:t>Ind</w:t>
            </w:r>
            <w:proofErr w:type="spellEnd"/>
            <w:r w:rsidRPr="00CA1B73">
              <w:rPr>
                <w:rFonts w:eastAsia="Times New Roman" w:cs="Arial"/>
                <w:b/>
                <w:bCs/>
                <w:color w:val="000000"/>
                <w:sz w:val="20"/>
                <w:szCs w:val="20"/>
                <w:lang w:eastAsia="fr-FR"/>
              </w:rPr>
              <w:t xml:space="preserve"> 3.2 :</w:t>
            </w:r>
            <w:r w:rsidRPr="00CA1B73">
              <w:rPr>
                <w:rFonts w:eastAsia="Times New Roman" w:cs="Arial"/>
                <w:color w:val="000000"/>
                <w:sz w:val="20"/>
                <w:szCs w:val="20"/>
                <w:lang w:eastAsia="fr-FR"/>
              </w:rPr>
              <w:t xml:space="preserve"> Proportion des citoyens répartis par sexe, catégorie d’âge et statut social qui connaissent le fonctionnement et qui saisissent les institutions de régulation et de contrôle en matière de redevabilité financière, judiciaire et électorale</w:t>
            </w:r>
            <w:r w:rsidRPr="00CA1B73">
              <w:rPr>
                <w:rFonts w:eastAsia="Times New Roman" w:cs="Arial"/>
                <w:color w:val="000000"/>
                <w:sz w:val="20"/>
                <w:szCs w:val="20"/>
                <w:lang w:eastAsia="fr-FR"/>
              </w:rPr>
              <w:br/>
            </w:r>
            <w:proofErr w:type="spellStart"/>
            <w:r w:rsidRPr="00CA1B73">
              <w:rPr>
                <w:rFonts w:eastAsia="Times New Roman" w:cs="Arial"/>
                <w:b/>
                <w:bCs/>
                <w:color w:val="000000"/>
                <w:sz w:val="20"/>
                <w:szCs w:val="20"/>
                <w:lang w:eastAsia="fr-FR"/>
              </w:rPr>
              <w:t>Ind</w:t>
            </w:r>
            <w:proofErr w:type="spellEnd"/>
            <w:r w:rsidRPr="00CA1B73">
              <w:rPr>
                <w:rFonts w:eastAsia="Times New Roman" w:cs="Arial"/>
                <w:b/>
                <w:bCs/>
                <w:color w:val="000000"/>
                <w:sz w:val="20"/>
                <w:szCs w:val="20"/>
                <w:lang w:eastAsia="fr-FR"/>
              </w:rPr>
              <w:t xml:space="preserve"> 3.3 : </w:t>
            </w:r>
            <w:r w:rsidRPr="00CA1B73">
              <w:rPr>
                <w:rFonts w:eastAsia="Times New Roman" w:cs="Arial"/>
                <w:color w:val="000000"/>
                <w:sz w:val="20"/>
                <w:szCs w:val="20"/>
                <w:lang w:eastAsia="fr-FR"/>
              </w:rPr>
              <w:t>Proportion des citoyens répartis par sexe, catégorie d’âge et statut social satisfaits du fonctionnement des institutions de régulation et de contrôle en matière de redevabilité financière, judiciaire et électorale</w:t>
            </w:r>
          </w:p>
        </w:tc>
      </w:tr>
      <w:tr w:rsidR="000F4865" w:rsidRPr="00CA1B73" w14:paraId="1665CC9F" w14:textId="77777777" w:rsidTr="00C16F62">
        <w:trPr>
          <w:trHeight w:val="300"/>
        </w:trPr>
        <w:tc>
          <w:tcPr>
            <w:tcW w:w="14591" w:type="dxa"/>
            <w:gridSpan w:val="3"/>
            <w:shd w:val="clear" w:color="000000" w:fill="E7E6E6"/>
            <w:vAlign w:val="center"/>
            <w:hideMark/>
          </w:tcPr>
          <w:p w14:paraId="0334A9E1"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lang w:eastAsia="fr-FR"/>
              </w:rPr>
              <w:t>Total output 3.1 :</w:t>
            </w:r>
          </w:p>
        </w:tc>
      </w:tr>
      <w:tr w:rsidR="000F4865" w:rsidRPr="00CA1B73" w14:paraId="2AE20753" w14:textId="77777777" w:rsidTr="00C16F62">
        <w:trPr>
          <w:trHeight w:val="510"/>
        </w:trPr>
        <w:tc>
          <w:tcPr>
            <w:tcW w:w="3251" w:type="dxa"/>
            <w:vMerge w:val="restart"/>
            <w:shd w:val="clear" w:color="auto" w:fill="auto"/>
            <w:vAlign w:val="center"/>
            <w:hideMark/>
          </w:tcPr>
          <w:p w14:paraId="5A67A5DC"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r w:rsidRPr="00CA1B73">
              <w:rPr>
                <w:rFonts w:eastAsia="Times New Roman" w:cs="Arial"/>
                <w:b/>
                <w:bCs/>
                <w:color w:val="000000"/>
                <w:sz w:val="20"/>
                <w:szCs w:val="20"/>
                <w:u w:val="single"/>
                <w:lang w:eastAsia="fr-FR"/>
              </w:rPr>
              <w:t>Output 3.4 :</w:t>
            </w:r>
            <w:r w:rsidRPr="00CA1B73">
              <w:rPr>
                <w:rFonts w:eastAsia="Times New Roman" w:cs="Arial"/>
                <w:b/>
                <w:bCs/>
                <w:color w:val="000000"/>
                <w:sz w:val="20"/>
                <w:szCs w:val="20"/>
                <w:lang w:eastAsia="fr-FR"/>
              </w:rPr>
              <w:t xml:space="preserve"> Les mécanismes de veille et d’interpellation citoyenne sont fonctionnels </w:t>
            </w:r>
          </w:p>
        </w:tc>
        <w:tc>
          <w:tcPr>
            <w:tcW w:w="6378" w:type="dxa"/>
            <w:shd w:val="clear" w:color="auto" w:fill="auto"/>
            <w:vAlign w:val="center"/>
            <w:hideMark/>
          </w:tcPr>
          <w:p w14:paraId="5552DF4F" w14:textId="64DFBA71" w:rsidR="000F4865" w:rsidRPr="00CA1B73" w:rsidRDefault="000F4865" w:rsidP="00C16F62">
            <w:pPr>
              <w:keepNext w:val="0"/>
              <w:keepLines w:val="0"/>
              <w:widowControl w:val="0"/>
              <w:spacing w:after="0" w:line="240" w:lineRule="auto"/>
              <w:jc w:val="left"/>
              <w:rPr>
                <w:rFonts w:cs="Arial"/>
                <w:sz w:val="20"/>
                <w:szCs w:val="20"/>
              </w:rPr>
            </w:pPr>
            <w:proofErr w:type="spellStart"/>
            <w:r w:rsidRPr="00CA1B73">
              <w:rPr>
                <w:rFonts w:cs="Arial"/>
                <w:sz w:val="20"/>
                <w:szCs w:val="20"/>
              </w:rPr>
              <w:t>Ind</w:t>
            </w:r>
            <w:proofErr w:type="spellEnd"/>
            <w:r w:rsidRPr="00CA1B73">
              <w:rPr>
                <w:rFonts w:cs="Arial"/>
                <w:sz w:val="20"/>
                <w:szCs w:val="20"/>
              </w:rPr>
              <w:t xml:space="preserve"> 3.4.1 : </w:t>
            </w:r>
            <w:r w:rsidR="00CA1B73" w:rsidRPr="00CA1B73">
              <w:rPr>
                <w:rFonts w:cs="Arial"/>
                <w:sz w:val="20"/>
                <w:szCs w:val="20"/>
              </w:rPr>
              <w:t>Taux d'évolution du nombre d’infractions de corruption détectés et dénoncés par les OSC</w:t>
            </w:r>
          </w:p>
        </w:tc>
        <w:tc>
          <w:tcPr>
            <w:tcW w:w="4962" w:type="dxa"/>
            <w:vMerge w:val="restart"/>
            <w:shd w:val="clear" w:color="000000" w:fill="00B050"/>
            <w:vAlign w:val="center"/>
            <w:hideMark/>
          </w:tcPr>
          <w:p w14:paraId="674DB33D" w14:textId="3F808E3C" w:rsidR="000F4865" w:rsidRPr="00CA1B73" w:rsidRDefault="000F4865" w:rsidP="00C16F62">
            <w:pPr>
              <w:keepNext w:val="0"/>
              <w:keepLines w:val="0"/>
              <w:widowControl w:val="0"/>
              <w:spacing w:after="0" w:line="240" w:lineRule="auto"/>
              <w:jc w:val="left"/>
              <w:rPr>
                <w:rFonts w:eastAsia="Times New Roman" w:cs="Arial"/>
                <w:color w:val="000000"/>
                <w:sz w:val="20"/>
                <w:szCs w:val="20"/>
                <w:lang w:eastAsia="fr-FR"/>
              </w:rPr>
            </w:pPr>
            <w:r w:rsidRPr="00CA1B73">
              <w:rPr>
                <w:rFonts w:eastAsia="Times New Roman" w:cs="Arial"/>
                <w:color w:val="000000"/>
                <w:sz w:val="20"/>
                <w:szCs w:val="20"/>
                <w:lang w:eastAsia="fr-FR"/>
              </w:rPr>
              <w:t xml:space="preserve">Soutien aux </w:t>
            </w:r>
            <w:r w:rsidR="00C462F7" w:rsidRPr="00CA1B73">
              <w:rPr>
                <w:rFonts w:eastAsia="Times New Roman" w:cs="Arial"/>
                <w:color w:val="000000"/>
                <w:sz w:val="20"/>
                <w:szCs w:val="20"/>
                <w:lang w:eastAsia="fr-FR"/>
              </w:rPr>
              <w:t>initiatives</w:t>
            </w:r>
            <w:r w:rsidRPr="00CA1B73">
              <w:rPr>
                <w:rFonts w:eastAsia="Times New Roman" w:cs="Arial"/>
                <w:color w:val="000000"/>
                <w:sz w:val="20"/>
                <w:szCs w:val="20"/>
                <w:lang w:eastAsia="fr-FR"/>
              </w:rPr>
              <w:t xml:space="preserve"> de redevabilité portées par les OSC (projets innovants)</w:t>
            </w:r>
          </w:p>
        </w:tc>
      </w:tr>
      <w:tr w:rsidR="000F4865" w:rsidRPr="00CA1B73" w14:paraId="00577837" w14:textId="77777777" w:rsidTr="00C16F62">
        <w:trPr>
          <w:trHeight w:val="510"/>
        </w:trPr>
        <w:tc>
          <w:tcPr>
            <w:tcW w:w="3251" w:type="dxa"/>
            <w:vMerge/>
            <w:vAlign w:val="center"/>
            <w:hideMark/>
          </w:tcPr>
          <w:p w14:paraId="3C3FBEAA"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
        </w:tc>
        <w:tc>
          <w:tcPr>
            <w:tcW w:w="6378" w:type="dxa"/>
            <w:shd w:val="clear" w:color="auto" w:fill="auto"/>
            <w:vAlign w:val="center"/>
            <w:hideMark/>
          </w:tcPr>
          <w:p w14:paraId="74824C7B" w14:textId="6278354A" w:rsidR="000F4865" w:rsidRPr="00CA1B73" w:rsidRDefault="000F4865" w:rsidP="00C16F62">
            <w:pPr>
              <w:keepNext w:val="0"/>
              <w:keepLines w:val="0"/>
              <w:widowControl w:val="0"/>
              <w:spacing w:after="0" w:line="240" w:lineRule="auto"/>
              <w:jc w:val="left"/>
              <w:rPr>
                <w:rFonts w:cs="Arial"/>
                <w:sz w:val="20"/>
                <w:szCs w:val="20"/>
              </w:rPr>
            </w:pPr>
            <w:proofErr w:type="spellStart"/>
            <w:r w:rsidRPr="00CA1B73">
              <w:rPr>
                <w:rFonts w:cs="Arial"/>
                <w:sz w:val="20"/>
                <w:szCs w:val="20"/>
              </w:rPr>
              <w:t>Ind</w:t>
            </w:r>
            <w:proofErr w:type="spellEnd"/>
            <w:r w:rsidRPr="00CA1B73">
              <w:rPr>
                <w:rFonts w:cs="Arial"/>
                <w:sz w:val="20"/>
                <w:szCs w:val="20"/>
              </w:rPr>
              <w:t xml:space="preserve"> 3.4.2 : Nombre de dossiers de corruption traités </w:t>
            </w:r>
            <w:r w:rsidR="00CA1B73" w:rsidRPr="00CA1B73">
              <w:rPr>
                <w:rFonts w:cs="Arial"/>
                <w:sz w:val="20"/>
                <w:szCs w:val="20"/>
              </w:rPr>
              <w:t xml:space="preserve">et suivis par le </w:t>
            </w:r>
            <w:r w:rsidRPr="00CA1B73">
              <w:rPr>
                <w:rFonts w:cs="Arial"/>
                <w:sz w:val="20"/>
                <w:szCs w:val="20"/>
              </w:rPr>
              <w:t>CCAP</w:t>
            </w:r>
          </w:p>
        </w:tc>
        <w:tc>
          <w:tcPr>
            <w:tcW w:w="4962" w:type="dxa"/>
            <w:vMerge/>
            <w:vAlign w:val="center"/>
            <w:hideMark/>
          </w:tcPr>
          <w:p w14:paraId="45BD0AE3" w14:textId="77777777" w:rsidR="000F4865" w:rsidRPr="00CA1B73" w:rsidRDefault="000F4865" w:rsidP="00C16F62">
            <w:pPr>
              <w:keepNext w:val="0"/>
              <w:keepLines w:val="0"/>
              <w:widowControl w:val="0"/>
              <w:spacing w:after="0" w:line="240" w:lineRule="auto"/>
              <w:jc w:val="left"/>
              <w:rPr>
                <w:rFonts w:eastAsia="Times New Roman" w:cs="Arial"/>
                <w:color w:val="000000"/>
                <w:sz w:val="20"/>
                <w:szCs w:val="20"/>
                <w:lang w:eastAsia="fr-FR"/>
              </w:rPr>
            </w:pPr>
          </w:p>
        </w:tc>
      </w:tr>
      <w:tr w:rsidR="000F4865" w:rsidRPr="00CA1B73" w14:paraId="53707BB2" w14:textId="77777777" w:rsidTr="00C16F62">
        <w:trPr>
          <w:trHeight w:val="510"/>
        </w:trPr>
        <w:tc>
          <w:tcPr>
            <w:tcW w:w="3251" w:type="dxa"/>
            <w:vMerge/>
            <w:vAlign w:val="center"/>
            <w:hideMark/>
          </w:tcPr>
          <w:p w14:paraId="36AB8FFA" w14:textId="77777777" w:rsidR="000F4865" w:rsidRPr="00CA1B73" w:rsidRDefault="000F4865" w:rsidP="00C16F62">
            <w:pPr>
              <w:keepNext w:val="0"/>
              <w:keepLines w:val="0"/>
              <w:widowControl w:val="0"/>
              <w:spacing w:after="0" w:line="240" w:lineRule="auto"/>
              <w:jc w:val="left"/>
              <w:rPr>
                <w:rFonts w:eastAsia="Times New Roman" w:cs="Arial"/>
                <w:b/>
                <w:bCs/>
                <w:color w:val="000000"/>
                <w:sz w:val="20"/>
                <w:szCs w:val="20"/>
                <w:lang w:eastAsia="fr-FR"/>
              </w:rPr>
            </w:pPr>
          </w:p>
        </w:tc>
        <w:tc>
          <w:tcPr>
            <w:tcW w:w="6378" w:type="dxa"/>
            <w:shd w:val="clear" w:color="auto" w:fill="auto"/>
            <w:vAlign w:val="center"/>
            <w:hideMark/>
          </w:tcPr>
          <w:p w14:paraId="6EBF33EC" w14:textId="00D84AEA" w:rsidR="000F4865" w:rsidRPr="00CA1B73" w:rsidRDefault="000F4865" w:rsidP="00C16F62">
            <w:pPr>
              <w:keepNext w:val="0"/>
              <w:keepLines w:val="0"/>
              <w:widowControl w:val="0"/>
              <w:spacing w:after="0" w:line="240" w:lineRule="auto"/>
              <w:jc w:val="left"/>
              <w:rPr>
                <w:rFonts w:cs="Arial"/>
                <w:sz w:val="20"/>
                <w:szCs w:val="20"/>
              </w:rPr>
            </w:pPr>
            <w:proofErr w:type="spellStart"/>
            <w:r w:rsidRPr="00CA1B73">
              <w:rPr>
                <w:rFonts w:cs="Arial"/>
                <w:sz w:val="20"/>
                <w:szCs w:val="20"/>
              </w:rPr>
              <w:t>Ind</w:t>
            </w:r>
            <w:proofErr w:type="spellEnd"/>
            <w:r w:rsidRPr="00CA1B73">
              <w:rPr>
                <w:rFonts w:cs="Arial"/>
                <w:sz w:val="20"/>
                <w:szCs w:val="20"/>
              </w:rPr>
              <w:t xml:space="preserve"> 3.4.3 : </w:t>
            </w:r>
            <w:r w:rsidR="00CA1B73" w:rsidRPr="00CA1B73">
              <w:rPr>
                <w:rFonts w:cs="Arial"/>
                <w:sz w:val="20"/>
                <w:szCs w:val="20"/>
              </w:rPr>
              <w:t xml:space="preserve">Nombre de structures (administration </w:t>
            </w:r>
            <w:r w:rsidR="00CA1B73" w:rsidRPr="00CA1B73">
              <w:rPr>
                <w:rFonts w:cs="Arial"/>
                <w:sz w:val="20"/>
                <w:szCs w:val="20"/>
              </w:rPr>
              <w:t>publiques,</w:t>
            </w:r>
            <w:r w:rsidR="00CA1B73" w:rsidRPr="00CA1B73">
              <w:rPr>
                <w:rFonts w:cs="Arial"/>
                <w:sz w:val="20"/>
                <w:szCs w:val="20"/>
              </w:rPr>
              <w:t xml:space="preserve"> structures privées) ayant bénéficié de coaching pour la détection des risques de corruption</w:t>
            </w:r>
          </w:p>
        </w:tc>
        <w:tc>
          <w:tcPr>
            <w:tcW w:w="4962" w:type="dxa"/>
            <w:vMerge/>
            <w:vAlign w:val="center"/>
            <w:hideMark/>
          </w:tcPr>
          <w:p w14:paraId="3837E59D" w14:textId="77777777" w:rsidR="000F4865" w:rsidRPr="00CA1B73" w:rsidRDefault="000F4865" w:rsidP="00C16F62">
            <w:pPr>
              <w:keepNext w:val="0"/>
              <w:keepLines w:val="0"/>
              <w:widowControl w:val="0"/>
              <w:spacing w:after="0" w:line="240" w:lineRule="auto"/>
              <w:jc w:val="left"/>
              <w:rPr>
                <w:rFonts w:eastAsia="Times New Roman" w:cs="Arial"/>
                <w:color w:val="000000"/>
                <w:sz w:val="20"/>
                <w:szCs w:val="20"/>
                <w:lang w:eastAsia="fr-FR"/>
              </w:rPr>
            </w:pPr>
          </w:p>
        </w:tc>
      </w:tr>
    </w:tbl>
    <w:p w14:paraId="1D463654" w14:textId="77777777" w:rsidR="0014538C" w:rsidRDefault="0014538C" w:rsidP="00CA1B73"/>
    <w:sectPr w:rsidR="0014538C" w:rsidSect="000F486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65"/>
    <w:rsid w:val="000F4865"/>
    <w:rsid w:val="0014538C"/>
    <w:rsid w:val="00277D86"/>
    <w:rsid w:val="004D3043"/>
    <w:rsid w:val="00567479"/>
    <w:rsid w:val="00C462F7"/>
    <w:rsid w:val="00C95C63"/>
    <w:rsid w:val="00CA1B73"/>
    <w:rsid w:val="00DF5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58F5"/>
  <w15:chartTrackingRefBased/>
  <w15:docId w15:val="{BFBB8E3F-3377-4CCF-B3FE-A1DAB420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65"/>
    <w:pPr>
      <w:keepNext/>
      <w:keepLines/>
      <w:spacing w:after="120" w:line="276" w:lineRule="auto"/>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857</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YABI O. Camille</dc:creator>
  <cp:keywords/>
  <dc:description/>
  <cp:lastModifiedBy>Camille O. YABI</cp:lastModifiedBy>
  <cp:revision>2</cp:revision>
  <dcterms:created xsi:type="dcterms:W3CDTF">2022-03-07T18:23:00Z</dcterms:created>
  <dcterms:modified xsi:type="dcterms:W3CDTF">2022-03-07T18:23:00Z</dcterms:modified>
</cp:coreProperties>
</file>